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e1b15a3c0e444de"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22187</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JAVNA USTANOVA NACIONALNI PARK RISNJAK</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11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875.541,59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800.172,69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678.967,99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701.128,35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196.573,60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99.044,34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50,4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1.057,60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2644,0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207.123,83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243.384,31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207.083,83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242.326,71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117,0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10.510,23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143.282,37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1363,3</w:t>
            </w:r>
          </w:p>
        </w:tc>
      </w:tr>
    </w:tbl>
    <w:p>
      <w:pPr>
        <w:spacing w:before="0" w:after="0"/>
      </w:pPr>
    </w:p>
    <w:p>
      <w:r>
        <w:t xml:space="preserve">U izvještajnom razdoblju Javna ustanova Nacionalni park Risnjak ostvarila je ukupne prihode od poslovanja u iznosu od 800.172,69 eura, a ukupne rashode od poslovanja u iznosu od 701.128,35 eura čime nastaje višak prihoda poslovanja u iznosu od 99.044,34 eura.</w:t>
      </w:r>
    </w:p>
    <w:p>
      <w:r>
        <w:t xml:space="preserve">U ovom izvještajnom razdoblju ostvareni su prihodi od prodaje nefinancijske imovine u iznosu od 1.057,60 eura, dok su rashodi od nefinancijske imovine nastali u iznosu od 243.384,31 eura, čime je nastao manjak od nefinancijske imovine u iznosu od 242.326,71 eura.</w:t>
      </w:r>
    </w:p>
    <w:p>
      <w:r>
        <w:t xml:space="preserve">Sukladno tome, na kraju trećeg kvartala nastali manjak prihoda i primitaka od 143.282,37 eura pokrivamo iz prenesenog viška prihoda i primitaka iz 2025. godine (150.919,28 eura), što znači da ovo obračunsko razdoblje završavamo sa 7.636,91 eura viška prihoda i primitaka.</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6341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od izvanproračunskih korisnika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675,80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w:t>
            </w:r>
          </w:p>
        </w:tc>
      </w:tr>
    </w:tbl>
    <w:p>
      <w:pPr>
        <w:spacing w:before="0" w:after="0"/>
      </w:pPr>
    </w:p>
    <w:p>
      <w:r>
        <w:t xml:space="preserve">675,80 eura tekuće pomoći od izvanproračunskih korisnika (6341) odnosi se na prihode od Fonda za zaštitu okoliša i energetsku učinkovitost (u nastavku FZOEU) za ZNS 1 temeljem Ugovora br. 2026/002689 od 24. travnja 2026. godine (KLASA: 352-01/25-02/3, UR.BR:563-02-2/206-26-11) o neposrednom sudjelovanju Fonda u sufinanciranju projekta „Poboljšano upravljanje Nacionalnim parkom Risnjak“ (kod projekta:PK.3.7.05.0006). </w:t>
      </w:r>
    </w:p>
    <w:p>
      <w:r>
        <w:t xml:space="preserve">U prošlogodišnjem promatranom razdoblju je ostvareno 16.000,00 eura, tekuće pomoći od izvanproračunskih korisnika (šifra 6341) od FZOEU temeljem Ugovora br.2023/015245 o neposrednom sudjelovanju Fonda u financiranju izrade projektne dokumentacije za prijavu projekata za financiranje iz Programa „Konkurentnost i kohezija 2021.-2027. Specifični cilj 2.vii“ za troškove obrade i analize podataka i pregleda travnjaka s ciljem definiranja provedbe aktivnih mjera održavanja.</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od izvanproračunskih korisnika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437,98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437,98 eura kapitalne pomoći od izvanproračunskih korisnika (6342) odnosi se na prihode od Fonda za zaštitu okoliša i energetsku učinkovitost (u nastavku FZOEU) za ZNS 1 temeljem Ugovora br. 2026/002689 od 24. travnja 2026. godine (KLASA: 352-01/25-02/3, UR.BR:563-02-2/206-26-11) o neposrednom sudjelovanju Fonda u sufinanciranju projekta „Poboljšano upravljanje Nacionalnim parkom Risnjak“ (kod projekta:PK.3.7.05.0006).</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proračunskim korisnicima iz proračuna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 ovogodišnjem promatranom razdoblju nisu ostvareni prihodi na kapitalne pomoći proračunskim korisnicima iz proračuna koji im nije nadležan (šifra 6362)  dok je u prošlogodišnjem promatranom razdoblju ostvareno 22.000,00 eura temeljem Ugovora za kupovinu ATV vozila s pratećom opremom, KLASA: 402-02/25-01/19, URBROJ: 2170-2-03/3-25-3.</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24.229,32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30.962,07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127,8</w:t>
            </w:r>
          </w:p>
        </w:tc>
      </w:tr>
    </w:tbl>
    <w:p>
      <w:pPr>
        <w:spacing w:before="0" w:after="0"/>
      </w:pPr>
    </w:p>
    <w:p>
      <w:r>
        <w:t xml:space="preserve">30.962,07 eura tekuće pomoći temeljem prijenosa EU sredstava (6381) ostvareno je od Prirodoslovnog muzeja Rijeka temeljem Sporazuma o partnerstvu za standardni projekt u okviru prioriteta 1 i 3 (specifični cilj 6.2) Interreg Program Slovenija-Hrvatska 2021.-2027. – 3. i 4. izvještajno razdoblje.</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4.428,64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7.040,00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159,0</w:t>
            </w:r>
          </w:p>
        </w:tc>
      </w:tr>
    </w:tbl>
    <w:p>
      <w:pPr>
        <w:spacing w:before="0" w:after="0"/>
      </w:pPr>
    </w:p>
    <w:p>
      <w:r>
        <w:t xml:space="preserve">7.040,00 eura kapitalne pomoći temeljem prijenosa EU sredstava (6382) ostvareno je od Prirodoslovnog muzeja Rijeka temeljem Sporazuma o partnerstvu za standardni projekt u okviru prioriteta 1 i 3 (specifični cilj 6.2) Interreg Program Slovenija-Hrvatska 2021.-2027. – 3. i 4. izvještajno razdoblje.</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Tekući prijenosi između proračunskih korisnika istog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48.605,45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w:t>
            </w:r>
          </w:p>
        </w:tc>
      </w:tr>
    </w:tbl>
    <w:p>
      <w:pPr>
        <w:spacing w:before="0" w:after="0"/>
      </w:pPr>
    </w:p>
    <w:p>
      <w:r>
        <w:t xml:space="preserve">1.400,00 eura tekući prijenosi između proračunskih korisnika istog korisnika (6391) doznačeni su iz Zajedničkih sredstava parkova Hrvatske temeljem Odluka o dodjeli sredstava za podmirivanje rashoda za financiranje prioritetnih aktivnosti javnih ustanova nacionalnih parkova i parkova prirode i to temeljem ZNS 1 - odluka 08.08.2025 -  usluga stručnog nadzora nad izgradnjom pješačkog mosta u NP Risnjak, ZNS 1 i 2 - odluka 02.12.2025 - sufinanciranje rekonstrukcije PD Risnjak, te ZNS 1 - odluka 27.03.2026. godine - za podmirivanje usluge stručnog nadzora nad izgradnjom pješačkog mosta i sufinanciranja (1/3 troškova) okončane situacije izgrađenog mosta zbog povećane količine materijala u odnosu na planiranu.</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Kapitalni prijenosi između proračunskih korisnika istog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191.646,80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62.564,44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32,6</w:t>
            </w:r>
          </w:p>
        </w:tc>
      </w:tr>
    </w:tbl>
    <w:p>
      <w:pPr>
        <w:spacing w:before="0" w:after="0"/>
      </w:pPr>
    </w:p>
    <w:p>
      <w:r>
        <w:t xml:space="preserve">62.564,44 eura kapitalni prijenosi između proračunskih korisnika istog proračuna (šifra 6392) doznačeni su iz Zajedničkih sredstava parkova Hrvatske temeljem Odluka o dodjeli sredstava za podmirivanje rashoda za financiranje prioritetnih aktivnosti javnih ustanova nacionalnih parkova i parkova prirode i to temeljem ZNS 1 - odluka 08.08.2025 -  usluga stručnog nadzora nad izgradnjom pješačkog mosta u NP Risnjak, ZNS 1 i 2 - odluka 02.12.2025 - sufinanciranje rekonstrukcije PD Risnjak, te ZNS 1 - odluka 27.03.2026. godine - za podmirivanje usluge stručnog nadzora nad izgradnjom pješačkog mosta i sufinanciranja (1/3 troškova) okončane situacije izgrađenog mosta zbog povećane količine materijala u odnosu na planiranu.</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zateznih kamata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43,04 eura prihoda ostvareno je od zateznih kamata temeljem rješenja o ovrsi Ovrv-8676/2025 nad Usluge Ogulin j.d.o.o.</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97.027,44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118.023,65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121,6</w:t>
            </w:r>
          </w:p>
        </w:tc>
      </w:tr>
    </w:tbl>
    <w:p>
      <w:pPr>
        <w:spacing w:before="0" w:after="0"/>
      </w:pPr>
    </w:p>
    <w:p>
      <w:r>
        <w:t xml:space="preserve">118.023,65 eura odnosi se na prihode ostvarene prodajom ulaznica na području JU NP Risnjak (117.081,24 eura) i prihodi s naslova osiguranja, refundacije štete i totalne štete (942,41 euro) temeljem isplatih zahtjeva 70-AK-18759/2026 za vozilo Škoda Karoq (DE435FN), gdje je došlo do povećanja od 21,6 %.</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19.207,34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28.781,60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149,8</w:t>
            </w:r>
          </w:p>
        </w:tc>
      </w:tr>
    </w:tbl>
    <w:p>
      <w:pPr>
        <w:spacing w:before="0" w:after="0"/>
      </w:pPr>
    </w:p>
    <w:p>
      <w:r>
        <w:t xml:space="preserve">Na kontu 6614 – prihodi od prodaje proizvoda i robe je iznos od 28.781,60 eura koji se odnosi na porast prihoda od prodaje suvenira i trgovačke robe</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pruženih usluga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64.314,95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61.706,79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95,9</w:t>
            </w:r>
          </w:p>
        </w:tc>
      </w:tr>
    </w:tbl>
    <w:p>
      <w:pPr>
        <w:spacing w:before="0" w:after="0"/>
      </w:pPr>
    </w:p>
    <w:p>
      <w:r>
        <w:t xml:space="preserve">Na kontu 6615 – prihodi od pruženih usluga je iznos od 61.706,79 eura gdje spadaju:</w:t>
      </w:r>
    </w:p>
    <w:tbl>
      <w:tblPr>
        <w:tblStyle w:val="TableGrid"/>
        <w:tblW w:w="5000" w:type="pct"/>
      </w:tblPr>
      <w:tblGrid>
        <w:gridCol w:w="3202"/>
        <w:gridCol w:w="3202"/>
        <w:gridCol w:w="3202"/>
      </w:tblGrid>
      <w:tr>
        <w:trPr>
          <w:trHeight w:val="542" w:hRule="atLeast"/>
        </w:trPr>
        <w:tc>
          <w:tcPr>
            <w:tcW w:w="1663" w:type="pct"/>
            <w:vAlign w:val="center"/>
          </w:tcPr>
          <w:p>
            <w:r>
              <w:t xml:space="preserve"> </w:t>
            </w:r>
          </w:p>
        </w:tc>
        <w:tc>
          <w:tcPr>
            <w:tcW w:w="1663" w:type="pct"/>
            <w:vAlign w:val="center"/>
          </w:tcPr>
          <w:p>
            <w:pPr>
              <w:keepNext/>
              <w:jc w:val="center"/>
            </w:pPr>
            <w:r>
              <w:rPr>
                <w:b/>
              </w:rPr>
              <w:t xml:space="preserve">9/2025.</w:t>
            </w:r>
          </w:p>
        </w:tc>
        <w:tc>
          <w:tcPr>
            <w:tcW w:w="1663" w:type="pct"/>
            <w:vAlign w:val="center"/>
          </w:tcPr>
          <w:p>
            <w:pPr>
              <w:keepNext/>
              <w:jc w:val="center"/>
            </w:pPr>
            <w:r>
              <w:rPr>
                <w:b/>
              </w:rPr>
              <w:t xml:space="preserve">9/2026.</w:t>
            </w:r>
          </w:p>
        </w:tc>
      </w:tr>
      <w:tr>
        <w:trPr>
          <w:trHeight w:val="878" w:hRule="atLeast"/>
        </w:trPr>
        <w:tc>
          <w:tcPr>
            <w:tcW w:w="1663" w:type="pct"/>
            <w:vAlign w:val="center"/>
          </w:tcPr>
          <w:p>
            <w:r>
              <w:rPr>
                <w:b/>
              </w:rPr>
              <w:t xml:space="preserve">Prihodi od pruženih usluga</w:t>
            </w:r>
          </w:p>
        </w:tc>
        <w:tc>
          <w:tcPr>
            <w:tcW w:w="1663" w:type="pct"/>
            <w:vAlign w:val="center"/>
          </w:tcPr>
          <w:p>
            <w:pPr>
              <w:keepNext/>
              <w:jc w:val="center"/>
            </w:pPr>
            <w:r>
              <w:t xml:space="preserve">1.268,24 eur</w:t>
            </w:r>
          </w:p>
        </w:tc>
        <w:tc>
          <w:tcPr>
            <w:tcW w:w="1663" w:type="pct"/>
            <w:vAlign w:val="center"/>
          </w:tcPr>
          <w:p>
            <w:pPr>
              <w:keepNext/>
              <w:jc w:val="center"/>
            </w:pPr>
            <w:r>
              <w:t xml:space="preserve">916,75 eur</w:t>
            </w:r>
          </w:p>
        </w:tc>
      </w:tr>
      <w:tr>
        <w:trPr>
          <w:trHeight w:val="542" w:hRule="atLeast"/>
        </w:trPr>
        <w:tc>
          <w:tcPr>
            <w:tcW w:w="1663" w:type="pct"/>
            <w:vAlign w:val="center"/>
          </w:tcPr>
          <w:p>
            <w:r>
              <w:rPr>
                <w:b/>
              </w:rPr>
              <w:t xml:space="preserve">Noćenje</w:t>
            </w:r>
          </w:p>
        </w:tc>
        <w:tc>
          <w:tcPr>
            <w:tcW w:w="1663" w:type="pct"/>
            <w:vAlign w:val="center"/>
          </w:tcPr>
          <w:p>
            <w:pPr>
              <w:keepNext/>
              <w:jc w:val="center"/>
            </w:pPr>
            <w:r>
              <w:t xml:space="preserve">9.296,55 eur</w:t>
            </w:r>
          </w:p>
        </w:tc>
        <w:tc>
          <w:tcPr>
            <w:tcW w:w="1663" w:type="pct"/>
            <w:vAlign w:val="center"/>
          </w:tcPr>
          <w:p>
            <w:pPr>
              <w:keepNext/>
              <w:jc w:val="center"/>
            </w:pPr>
            <w:r>
              <w:t xml:space="preserve">8.681,48 eur</w:t>
            </w:r>
          </w:p>
        </w:tc>
      </w:tr>
      <w:tr>
        <w:trPr>
          <w:trHeight w:val="878" w:hRule="atLeast"/>
        </w:trPr>
        <w:tc>
          <w:tcPr>
            <w:tcW w:w="1663" w:type="pct"/>
            <w:vAlign w:val="center"/>
          </w:tcPr>
          <w:p>
            <w:r>
              <w:rPr>
                <w:b/>
              </w:rPr>
              <w:t xml:space="preserve">Adrenalinski i bicikl</w:t>
            </w:r>
          </w:p>
        </w:tc>
        <w:tc>
          <w:tcPr>
            <w:tcW w:w="1663" w:type="pct"/>
            <w:vAlign w:val="center"/>
          </w:tcPr>
          <w:p>
            <w:pPr>
              <w:keepNext/>
              <w:jc w:val="center"/>
            </w:pPr>
            <w:r>
              <w:t xml:space="preserve">1.740,98 eur</w:t>
            </w:r>
          </w:p>
        </w:tc>
        <w:tc>
          <w:tcPr>
            <w:tcW w:w="1663" w:type="pct"/>
            <w:vAlign w:val="center"/>
          </w:tcPr>
          <w:p>
            <w:pPr>
              <w:keepNext/>
              <w:jc w:val="center"/>
            </w:pPr>
            <w:r>
              <w:t xml:space="preserve">664,00 eur</w:t>
            </w:r>
          </w:p>
        </w:tc>
      </w:tr>
      <w:tr>
        <w:trPr>
          <w:trHeight w:val="542" w:hRule="atLeast"/>
        </w:trPr>
        <w:tc>
          <w:tcPr>
            <w:tcW w:w="1663" w:type="pct"/>
            <w:vAlign w:val="center"/>
          </w:tcPr>
          <w:p>
            <w:r>
              <w:rPr>
                <w:b/>
              </w:rPr>
              <w:t xml:space="preserve">Najam</w:t>
            </w:r>
          </w:p>
        </w:tc>
        <w:tc>
          <w:tcPr>
            <w:tcW w:w="1663" w:type="pct"/>
            <w:vAlign w:val="center"/>
          </w:tcPr>
          <w:p>
            <w:pPr>
              <w:keepNext/>
              <w:jc w:val="center"/>
            </w:pPr>
            <w:r>
              <w:t xml:space="preserve">16.018,57 eur</w:t>
            </w:r>
          </w:p>
        </w:tc>
        <w:tc>
          <w:tcPr>
            <w:tcW w:w="1663" w:type="pct"/>
            <w:vAlign w:val="center"/>
          </w:tcPr>
          <w:p>
            <w:pPr>
              <w:keepNext/>
              <w:jc w:val="center"/>
            </w:pPr>
            <w:r>
              <w:t xml:space="preserve">16.249,68 eur</w:t>
            </w:r>
          </w:p>
        </w:tc>
      </w:tr>
      <w:tr>
        <w:trPr>
          <w:trHeight w:val="542" w:hRule="atLeast"/>
        </w:trPr>
        <w:tc>
          <w:tcPr>
            <w:tcW w:w="1663" w:type="pct"/>
            <w:vAlign w:val="center"/>
          </w:tcPr>
          <w:p>
            <w:r>
              <w:rPr>
                <w:b/>
              </w:rPr>
              <w:t xml:space="preserve">Ribolovne</w:t>
            </w:r>
          </w:p>
        </w:tc>
        <w:tc>
          <w:tcPr>
            <w:tcW w:w="1663" w:type="pct"/>
            <w:vAlign w:val="center"/>
          </w:tcPr>
          <w:p>
            <w:pPr>
              <w:keepNext/>
              <w:jc w:val="center"/>
            </w:pPr>
            <w:r>
              <w:t xml:space="preserve">24.241,80 eur</w:t>
            </w:r>
          </w:p>
        </w:tc>
        <w:tc>
          <w:tcPr>
            <w:tcW w:w="1663" w:type="pct"/>
            <w:vAlign w:val="center"/>
          </w:tcPr>
          <w:p>
            <w:pPr>
              <w:keepNext/>
              <w:jc w:val="center"/>
            </w:pPr>
            <w:r>
              <w:t xml:space="preserve">23.144,00 eur</w:t>
            </w:r>
          </w:p>
        </w:tc>
      </w:tr>
      <w:tr>
        <w:trPr>
          <w:trHeight w:val="542" w:hRule="atLeast"/>
        </w:trPr>
        <w:tc>
          <w:tcPr>
            <w:tcW w:w="1663" w:type="pct"/>
            <w:vAlign w:val="center"/>
          </w:tcPr>
          <w:p>
            <w:r>
              <w:rPr>
                <w:b/>
              </w:rPr>
              <w:t xml:space="preserve">Ostale usluge</w:t>
            </w:r>
          </w:p>
        </w:tc>
        <w:tc>
          <w:tcPr>
            <w:tcW w:w="1663" w:type="pct"/>
            <w:vAlign w:val="center"/>
          </w:tcPr>
          <w:p>
            <w:pPr>
              <w:keepNext/>
              <w:jc w:val="center"/>
            </w:pPr>
            <w:r>
              <w:t xml:space="preserve">6.396,80 eur</w:t>
            </w:r>
          </w:p>
        </w:tc>
        <w:tc>
          <w:tcPr>
            <w:tcW w:w="1663" w:type="pct"/>
            <w:vAlign w:val="center"/>
          </w:tcPr>
          <w:p>
            <w:pPr>
              <w:keepNext/>
              <w:jc w:val="center"/>
            </w:pPr>
            <w:r>
              <w:t xml:space="preserve">5.729,98 eur</w:t>
            </w:r>
          </w:p>
        </w:tc>
      </w:tr>
      <w:tr>
        <w:trPr>
          <w:trHeight w:val="542" w:hRule="atLeast"/>
        </w:trPr>
        <w:tc>
          <w:tcPr>
            <w:tcW w:w="1663" w:type="pct"/>
            <w:vAlign w:val="center"/>
          </w:tcPr>
          <w:p>
            <w:r>
              <w:rPr>
                <w:b/>
              </w:rPr>
              <w:t xml:space="preserve">Stručno vođenje</w:t>
            </w:r>
          </w:p>
        </w:tc>
        <w:tc>
          <w:tcPr>
            <w:tcW w:w="1663" w:type="pct"/>
            <w:vAlign w:val="center"/>
          </w:tcPr>
          <w:p>
            <w:pPr>
              <w:keepNext/>
              <w:jc w:val="center"/>
            </w:pPr>
            <w:r>
              <w:t xml:space="preserve">5.352,01 eur</w:t>
            </w:r>
          </w:p>
        </w:tc>
        <w:tc>
          <w:tcPr>
            <w:tcW w:w="1663" w:type="pct"/>
            <w:vAlign w:val="center"/>
          </w:tcPr>
          <w:p>
            <w:pPr>
              <w:keepNext/>
              <w:jc w:val="center"/>
            </w:pPr>
            <w:r>
              <w:t xml:space="preserve">6.320,90 eur</w:t>
            </w:r>
          </w:p>
        </w:tc>
      </w:tr>
    </w:tbl>
    <w:p>
      <w:r>
        <w:t xml:space="preserve"> </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donacije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4.830,00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72,04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w:t>
            </w:r>
          </w:p>
        </w:tc>
      </w:tr>
    </w:tbl>
    <w:p>
      <w:pPr>
        <w:spacing w:before="0" w:after="0"/>
      </w:pPr>
    </w:p>
    <w:p>
      <w:r>
        <w:t xml:space="preserve">Tekuće donacije od fizičkih osoba (6631) ostvarene su u iznosu od 72,04 eura dok je u prošlogodišnjem promatranom razdoblju ostvareno 4.830,00 eura koji se odnosi na primljena sredstva temeljem Ugovora o donaciji ID 313 „Šumsko oko“ sa dm-drogerie markt d.o.o. za čišćenje i uređenje jezerca pored JU NP Risnjak te postavljanja edukativne table</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donacije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4.500,00 eura kapitalne donacije (6632) doznačeni su temeljem Ugovora o donaciji sa HRVATSKOM ELEKTROPRIVREDOM d.d. za provedbu projekta/programa pod nazivom OPTIČKI ČUVARI PRIRODE U NACIONALNOM PARKU "RISNJAK“. </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382.931,65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470.183,90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122,8</w:t>
            </w:r>
          </w:p>
        </w:tc>
      </w:tr>
    </w:tbl>
    <w:p>
      <w:pPr>
        <w:spacing w:before="0" w:after="0"/>
      </w:pPr>
    </w:p>
    <w:p>
      <w:r>
        <w:t xml:space="preserve">470.183,90 eura prihoda iz nadležnog proračuna za financiranje rashoda poslovanja (6711) dobivena su iz Državnog proračuna preko Ministarstva zaštite okoliša i zelene tranzicije, namijenjena za financiranje rashoda za zaposlene, rashoda za materijalne rashode, rashode poslovanja za Program zaštite, održavanja, očuvanja, promicanja i korištenja za 18 zaposlenika i bespovratnih sredstava za financiranje projekta pod nazivom „Poboljšano upravljanje Nacionalnim parkom Risnjak (kod projekta: PK.3.7.05.0006) u okviru Programa Konkurentnost i kohezija 2021.-2027. povezanih sa zaštitom okoliša, zaštitom prirode i vodnim gospodarstvom te, uključujući Specifični cilj RSO 2.7. Jačanje zaštite i očuvanja prirode, bioraznolikosti i zelene infrastrukture, među urbanim područjima, te smanjenje svih oblika onečišćenja za 3 zaposlenika - Stručni savjetnik, čuvar prirode II. vrste i radnika na održavanju</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13.506,78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13.506,78 euro prihodi iz nadležnog proračuna za financiranje rashoda za nabavu nefinancijske imovine (6712) odnosi se na bespovratna sredstava za pokriće materijalni rashoda za financiranje projekta pod nazivom „Poboljšano upravljanje Nacionalnim parkom Risnjak (kod projekta: PK.3.7.05.0006) u okviru Programa Konkurentnost i kohezija 2021.-2027. povezanih sa zaštitom okoliša, zaštitom prirode i vodnim gospodarstvom te, uključujući Specifični cilj RSO 2.7. Jačanje zaštite i očuvanja prirode, bioraznolikosti i zelene infrastrukture, među urbanim područjima, te smanjenje svih oblika onečišćenja </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274,60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85,8</w:t>
            </w:r>
          </w:p>
        </w:tc>
      </w:tr>
    </w:tbl>
    <w:p>
      <w:pPr>
        <w:spacing w:before="0" w:after="0"/>
      </w:pPr>
    </w:p>
    <w:p>
      <w:r>
        <w:t xml:space="preserve">274,60 eura ostvareno je temeljem rješenja o ovrsi Ovrv-8676/2025 nad Usluge Ogulin j.d.o.o.</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putovanja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3.116,04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1.283,88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41,2</w:t>
            </w:r>
          </w:p>
        </w:tc>
      </w:tr>
    </w:tbl>
    <w:p>
      <w:pPr>
        <w:spacing w:before="0" w:after="0"/>
      </w:pPr>
    </w:p>
    <w:p>
      <w:r>
        <w:t xml:space="preserve">·  3211 – službena putovanja 1.283,88 eura (smanjenje 58,8%) odnosi se na isplatu dnevnica u zemlji i inozemstvu, naknada za smještaj i prijevoz (HAC, parking i sl.) na službenom putu sukladno potrebama poslovanja JU NP Risnjak</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prijevoz, za rad na terenu i odvojeni život</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18.334,02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21.664,09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118,2</w:t>
            </w:r>
          </w:p>
        </w:tc>
      </w:tr>
    </w:tbl>
    <w:p>
      <w:pPr>
        <w:spacing w:before="0" w:after="0"/>
      </w:pPr>
    </w:p>
    <w:p>
      <w:r>
        <w:t xml:space="preserve">·  3212 – naknade za prijevoz na posao i s posla iznose 21.664,09 eura (povećanje 18,2%) - čije cijene se usklađuju s kretanjem cijene goriva svakog posljednjeg utorka u mjesecu za umnožak postotka povećanja prosječne cijene goriva i faktora 0,7</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sirovine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16.131,09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21.259,01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131,8</w:t>
            </w:r>
          </w:p>
        </w:tc>
      </w:tr>
    </w:tbl>
    <w:p>
      <w:pPr>
        <w:spacing w:before="0" w:after="0"/>
      </w:pPr>
    </w:p>
    <w:p>
      <w:r>
        <w:t xml:space="preserve">·  3222 – materijal i sirovine 21.259,01 eura (povećanje 31,8%) – odnosi se na troškove nabave suvenira i trgovačke robe za daljnju prodaju</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Energija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17.300,40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19.004,18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109,8</w:t>
            </w:r>
          </w:p>
        </w:tc>
      </w:tr>
    </w:tbl>
    <w:p>
      <w:pPr>
        <w:spacing w:before="0" w:after="0"/>
      </w:pPr>
    </w:p>
    <w:p>
      <w:r>
        <w:t xml:space="preserve">·  3223 – energija 19.004,18 eura (povećanje 9,8%) - povećanje troškova električne energije zbog rada ugostiteljstva, troškova goriva za vozni park i troškova nabave peleta za potrebe grijanja</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dijelovi za tekuće i investicijsko održavanje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5.516,22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8.090,05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146,7</w:t>
            </w:r>
          </w:p>
        </w:tc>
      </w:tr>
    </w:tbl>
    <w:p>
      <w:pPr>
        <w:spacing w:before="0" w:after="0"/>
      </w:pPr>
    </w:p>
    <w:p>
      <w:r>
        <w:t xml:space="preserve">·  3224 – materijal i dijelovi za tekuće i investicijsko održavanje 8.090,05 eura (povećanje 46,7%) zbog tekućeg održavanja na voznom parku, popravku teleskopske motorne pile, te redovnih tekućih i investicijskih popravaka na objektima JU NP Risnjak</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radna i zaštitna odjeća i obuća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460,12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2.801,98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609,0</w:t>
            </w:r>
          </w:p>
        </w:tc>
      </w:tr>
    </w:tbl>
    <w:p>
      <w:pPr>
        <w:spacing w:before="0" w:after="0"/>
      </w:pPr>
    </w:p>
    <w:p>
      <w:r>
        <w:t xml:space="preserve">·  3227 – službena, radna i zaštitna odjeća i obuća 2.801,98 eura (povećanje 609%) – nabavljene gojzerice i radno-službena odjeća za odjel čuvara prirode, te zaštitna odjeća</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telefona, interneta, pošte i prijevoza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1.712,20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2.133,44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124,6</w:t>
            </w:r>
          </w:p>
        </w:tc>
      </w:tr>
    </w:tbl>
    <w:p>
      <w:pPr>
        <w:spacing w:before="0" w:after="0"/>
      </w:pPr>
    </w:p>
    <w:p>
      <w:r>
        <w:t xml:space="preserve">·  3231 – usluge telefona, interneta, pošte i prijevoza 2.133,44 eura (povećanje 24,6%) obuhvaća redovne troškove telefona i interneta, poštanske troškove, troškove prijevoza organizirane stručne ekskurzije za interpretatore prirode i turističke vodiče u sklopu Interreg Program Slovenija-Hrvatska 2021.-2027. i troškove vučne službe za Dacia Duster</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9.325,43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16.807,42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180,2</w:t>
            </w:r>
          </w:p>
        </w:tc>
      </w:tr>
    </w:tbl>
    <w:p>
      <w:pPr>
        <w:spacing w:before="0" w:after="0"/>
      </w:pPr>
    </w:p>
    <w:p>
      <w:r>
        <w:t xml:space="preserve">· 3232 – usluge tekućeg i investicijskog održavanja 16.807,42 eura (povećanje 80,2%) – obavljen servis peći na pelete u Upravi i popravak teleskopske motorne pile, servis na voznom parku, čišćenje ceste Razloge-Hrvatsko, uklanjanje drvenog WC-a i odvoz, popravak ulaznih vrata na zgradi Upravne zgrade, razdvajanje struje u Upravnoj zgradi, popravljanje HERZ kotlovskog postrojenja i pužnog transportera, te obvezna periodička ispitivanja radne opreme, radnog okoliš i pripadajućih instalacija sukladno Zakonu o zaštiti na radu (ispitivanje fizikalnih čimbenika radnog okoliša i unutarnje ispitivanje hidrantske mreže, usluga ispitivanja sustava za dojavu požara</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promidžbe i informiranja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10.404,28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12.835,95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123,4</w:t>
            </w:r>
          </w:p>
        </w:tc>
      </w:tr>
    </w:tbl>
    <w:p>
      <w:pPr>
        <w:spacing w:before="0" w:after="0"/>
      </w:pPr>
    </w:p>
    <w:p>
      <w:r>
        <w:t xml:space="preserve">·  3233 – usluge promidžbe i informiranja 12.835,95 eura (povećanje 23,4 %) odnose se na troškove nabave tiskanih ulaznica, mjesečnog održavanja web stranice, objave tiskanog članka u Tip kreativi, tiska prospekta Kupa, oglašavanja na jumbo plakatima, objave oglasa u tiskanom izdanju vodiča Adriatic Explore, Travel Advisor i FB</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Zdravstvene i veterinarske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1.257,70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1.354,30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107,7</w:t>
            </w:r>
          </w:p>
        </w:tc>
      </w:tr>
    </w:tbl>
    <w:p>
      <w:pPr>
        <w:spacing w:before="0" w:after="0"/>
      </w:pPr>
    </w:p>
    <w:p>
      <w:r>
        <w:t xml:space="preserve">·  3236 – zdravstvene i veterinarske usluge 1.354,30 eura (povećanje 7,7%)- zdravstveni pregledi četiri zaposlenika sukladno kolektivnom ugovoru, redovni zdravstveni pregledi sposobnosti radnika određene pravilnikom o poslovima s posebnim uvjetima rada za djelatnika u odjeljku tehničkih poslova i poslova održavanja infrastrukture, te cijepljenje protiv krpeljnog meningoencefalitisa djelatnika odjela čuvara prirode i poodsjeka promocije i ugostiteljstva</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5.407,39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24.820,25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459,0</w:t>
            </w:r>
          </w:p>
        </w:tc>
      </w:tr>
    </w:tbl>
    <w:p>
      <w:pPr>
        <w:spacing w:before="0" w:after="0"/>
      </w:pPr>
    </w:p>
    <w:p>
      <w:r>
        <w:t xml:space="preserve">·  3239 – ostale usluge 24.820,25 eura (povećanje 459%) – odnose se na troškove nabave kartonskih ulaznica – parkovi Hrvatske, papirnatih vrećica za prodaju trgovačke robe, usluge registracije prijevoznih sredstava, troškova eCertifikata, godišnje naknade obavljanja poslova zaštite na radu temeljem ugovora, tiska kartonskih ulaznica parkovi hrvatske, usluga pranje i peglanja posteljine, deka, jastuka iz planinarskog doma Risnjak, te troškova digitalnih certifikata za potrebe redovnog poslovanja, te troškova usluga uklanjanja bujadnica, košnje/malčiranja i održavanja travnjaka košnjom/malčiranjem u sklopu projekta pod nazivom „Poboljšano upravljanje Nacionalnim parkom Risnjak (kod projekta: PK.3.7.05.0006) u okviru Programa Konkurentnost i kohezija 2021.-2027. povezanih sa zaštitom okoliša, zaštitom prirode i vodnim gospodarstvom te, uključujući Specifični cilj RSO 2.7. Jačanje zaštite i očuvanja prirode, bioraznolikosti i zelene infrastrukture, među urbanim područjima, te smanjenje svih oblika onečišćenja</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rad predstavničkih i izvršnih tijela, povjerenstava i slično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5.784,28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6.395,13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110,6</w:t>
            </w:r>
          </w:p>
        </w:tc>
      </w:tr>
    </w:tbl>
    <w:p>
      <w:pPr>
        <w:spacing w:before="0" w:after="0"/>
      </w:pPr>
    </w:p>
    <w:p>
      <w:r>
        <w:t xml:space="preserve">·  3291 – naknade za rad predstavničinih i izvršnih tijela, povjerenstva i sl. 6.395,13 eura (povećanje 10,6%) temeljem redovnih sjednica UV</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Bankarske usluge i usluge platnog prometa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1.770,64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2.167,87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122,4</w:t>
            </w:r>
          </w:p>
        </w:tc>
      </w:tr>
    </w:tbl>
    <w:p>
      <w:pPr>
        <w:spacing w:before="0" w:after="0"/>
      </w:pPr>
    </w:p>
    <w:p>
      <w:r>
        <w:t xml:space="preserve">3431 – bankarske usluge i usluge platnog prometa 2.167,87 eura (povećanje 22,4%) zbog podizanja vrećica za dnevno noćni trezor, te porasta mjesečnih troškova održavanja računa i korištenja NetBanking i nBanking usluge sukladno odluci o Naknadama za usluge platnog prometa u poslovanju s poslovnim subjektima na snazi od 01.05.2026.</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Zatezne kamate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19,0</w:t>
            </w:r>
          </w:p>
        </w:tc>
      </w:tr>
    </w:tbl>
    <w:p>
      <w:pPr>
        <w:spacing w:before="0" w:after="0"/>
      </w:pPr>
    </w:p>
    <w:p>
      <w:r>
        <w:t xml:space="preserve">konto 3433 – zatezne kamate 1,59 euro (smanjenje 81%) zbog nepodmirenja troška u predviđenom vremenskom roku i razdjeljivanja odjela Zagrebačkog holdinga te uvođenja zasebnih računa, dok je u prošlogodišnjem promatranom razdoblju plaćena kamata zbog ispravka PDV-a za 02/2025, te zatezna kamata zbog 15 dana kašnjenja plaćanja 1. obroka za NUV prema Hrvatskim vodama</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financijski rashodi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392,25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3434 – ostali nespomenuti financijski rashodi 392,25 eura temeljem poreznog rješenja KLASA:UP/I-410-24/2026-02/01693, URBROJ:513-07-01-010-2026-01 kojim se utvrđuje za 2025. godinu porez na nekretninu Zagreb, Zagrebačka cesta 185</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3691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Tekući prijenosi između proračunskih korisnika istog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1.525,46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1.728,10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113,3</w:t>
            </w:r>
          </w:p>
        </w:tc>
      </w:tr>
    </w:tbl>
    <w:p>
      <w:pPr>
        <w:spacing w:before="0" w:after="0"/>
      </w:pPr>
    </w:p>
    <w:p>
      <w:r>
        <w:t xml:space="preserve">3691 Tekući prijenosi između proračunskih korisnika istog proračuna - 1.728,10 eura (povećanje 13,3%), a odnosi se na uplatu 3% u Državni proračun sukladno Pravilniku o mjerilima i načinu korištenja nenamjenskih donacija i vlastitih prihoda u Zajednički fond PP i NP za razdoblje od 01.12.-31.12.2025. godine, te od 01.01.2026.-30.06.2026. godine temeljem ostvarenih prihoda od prodaje ulaznica za spomenuta razdoblja.</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Uređaji, strojevi i oprema za ostale namjene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1.057,60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7227 Uređaji, strojevi i oprema za ostale namjene - 1.057,60 eura prihoda ostvareno od prodaje temeljem oglasa za prodaju putem licitacije – usmenog javnog nadmetanja sukladno čl. 21 Statuta JU NP Risnjak, a temeljem Odluke Ravnatelja o prodaji osnovnih sredstava (KLASA:406-02/26-01/02, URBROJ:2170-6-2-01-26-01)</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7252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Osnovno stado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7252 Osnovno stado - 40,00 eura ostvareno od prodaje temeljem KUPOPRODAJNOG UGOVORA - konj Miško, URBROJ: 406-02/25-01/01, KLASA:2170-6-2-01-25-07 u Crnom Lugu 23.04.2025. godine</w:t>
      </w:r>
    </w:p>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građevinski objekti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180.010,50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92.998,47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51,7</w:t>
            </w:r>
          </w:p>
        </w:tc>
      </w:tr>
    </w:tbl>
    <w:p>
      <w:pPr>
        <w:spacing w:before="0" w:after="0"/>
      </w:pPr>
    </w:p>
    <w:p>
      <w:r>
        <w:t xml:space="preserve">·  4214 – ostali građevinski objekti 92.998,47 eura (smanjenje 48,3%) za troškove stručnog nadzora nad izgradnjom pješačkog mosta u nacionalnom parku Risnjak, okončane situacije temeljem Ugovora o javnoj nabavi za izgradnju pješačkog mosta preko Kupe u Gornjim Kuparima, troškova adaptiranja radione, izgradnje nove info kućice za prihvat posjetitelja u Bijeloj Vodici sa popratnim elektroinstalacijskim radovima, dok su u prošlogodišnjem promatranom razdoblju ostvareni troškovi zbog radova na Rodnoj kući Rijeke Kupe i osmatračnici na Btovom lazu, I. II. Privremene situacije temeljem Ugovora o javnoj nabavi za izgradnju pješačkog mosta preko Kupe u Gornjim Kuparima, I. privremene situacije temeljem Ugovor o javnoj nabavi za obnovu i uređenje poučne staze „Leska“, te zamjene krova na Aginoj kući</w:t>
      </w:r>
    </w:p>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Uredska oprema i namještaj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1.415,40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11.545,02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815,7</w:t>
            </w:r>
          </w:p>
        </w:tc>
      </w:tr>
    </w:tbl>
    <w:p>
      <w:pPr>
        <w:spacing w:before="0" w:after="0"/>
      </w:pPr>
    </w:p>
    <w:p>
      <w:r>
        <w:t xml:space="preserve">·  4221 – uredska oprema i namještaj 11.545,02 eura (povećanje 815,7%) nabavljena je uredska informatička oprema i oprema za edukaciju - tableti za potrebe projekta "Poboljšano upravljanje Nacionalnim parkom Risnjak'" referentne oznake PK.3.7.05.0006, hardver za aplikaciju za putovanje kroz vrijeme u zgradi uprave u sklopu projekta Interreg program Slovenija-Hrvatska 2021-2027 – transPlant, printer, čitač i router za potrebe rada info kućice u Kuparima.</w:t>
      </w:r>
    </w:p>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Komunikacijska oprema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  4222 – komunikacijska oprema, u ovom izvještajnom razdoblju nije bilo ostvarenih rashoda dok su u prošlogodišnjem promatranom razdoblju nabavljeni mobiteli za djelatnike</w:t>
      </w:r>
    </w:p>
    <w:p/>
    <w:p>
      <w:pPr>
        <w:jc w:val="center"/>
        <w:pStyle w:val="Normal"/>
        <w:spacing w:line="240" w:lineRule="auto"/>
        <w:keepNext/>
      </w:pPr>
      <w:r>
        <w:rPr>
          <w:sz w:val="28"/>
          <w:rFonts w:ascii="Times New Roman" w:hAnsi="Times New Roman"/>
        </w:rPr>
        <w:t xml:space="preserve">Bilješka 39.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Oprema za održavanje i zaštitu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2.941,17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14.718,36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500,4</w:t>
            </w:r>
          </w:p>
        </w:tc>
      </w:tr>
    </w:tbl>
    <w:p>
      <w:pPr>
        <w:spacing w:before="0" w:after="0"/>
      </w:pPr>
    </w:p>
    <w:p>
      <w:r>
        <w:t xml:space="preserve">·  4223 – oprema za održavanje i zaštitu 14.718,36 eura (povećanje 500,4%) zbog nabave video nadzora na upravnu zgradu JU NP Risnjak i Hostel „Crni Lug“, pumpe vode za Lazac, opreme za monitoring – dron uz obuku za upravljanje, ručne električne opreme za održavanje travnjaka u sklopu projekta pod nazivom „Poboljšano upravljanje Nacionalnim parkom Risnjak (kod projekta: PK.3.7.05.0006) u okviru Programa Konkurentnost i kohezija 2021.-2027. povezanih sa zaštitom okoliša, zaštitom prirode i vodnim gospodarstvom te, uključujući Specifični cilj RSO 2.7. Jačanje zaštite i očuvanja prirode, bioraznolikosti i zelene infrastrukture, među urbanim područjima, te smanjenje svih oblika onečišćenja</w:t>
      </w:r>
    </w:p>
    <w:p/>
    <w:p>
      <w:pPr>
        <w:jc w:val="center"/>
        <w:pStyle w:val="Normal"/>
        <w:spacing w:line="240" w:lineRule="auto"/>
        <w:keepNext/>
      </w:pPr>
      <w:r>
        <w:rPr>
          <w:sz w:val="28"/>
          <w:rFonts w:ascii="Times New Roman" w:hAnsi="Times New Roman"/>
        </w:rPr>
        <w:t xml:space="preserve">Bilješka 40.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Uređaji, strojevi i oprema za ostale namjene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1.855,96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930,42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50,1</w:t>
            </w:r>
          </w:p>
        </w:tc>
      </w:tr>
    </w:tbl>
    <w:p>
      <w:pPr>
        <w:spacing w:before="0" w:after="0"/>
      </w:pPr>
    </w:p>
    <w:p>
      <w:r>
        <w:t xml:space="preserve">·  4227 – uređaji, strojevi i oprema 930,42 eura (smanjenje 49,9%) nabavljena oprema za edukaciju – fotoaparati u sklopu projekta pod nazivom „Poboljšano upravljanje Nacionalnim parkom Risnjak (kod projekta: PK.3.7.05.0006) u okviru Programa Konkurentnost i kohezija 2021.-2027. povezanih sa zaštitom okoliša, zaštitom prirode i vodnim gospodarstvom te, uključujući Specifični cilj RSO 2.7. Jačanje zaštite i očuvanja prirode, bioraznolikosti i zelene infrastrukture, među urbanim područjima, te smanjenje svih oblika onečišćenja, dok su u 2025. godini nabavljeni datalogeri za potrebe provođenja projekta Interreg program Slovenija-Hrvatska 2021-2027 – transPlant</w:t>
      </w:r>
    </w:p>
    <w:p/>
    <w:p>
      <w:pPr>
        <w:jc w:val="center"/>
        <w:pStyle w:val="Normal"/>
        <w:spacing w:line="240" w:lineRule="auto"/>
        <w:keepNext/>
      </w:pPr>
      <w:r>
        <w:rPr>
          <w:sz w:val="28"/>
          <w:rFonts w:ascii="Times New Roman" w:hAnsi="Times New Roman"/>
        </w:rPr>
        <w:t xml:space="preserve">Bilješka 41.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Prijevozna sredstva u cestovnom prometu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18.960,80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  4231 – prijevozna sredstva u cestovnom prometu, u ovogodišnjem promatranom zardoblju nije bilo ostvareno rashoda dok je u prošlogodišnjem razdoblju nabavljeno ATV vozilo s pratećom opremom (prikolica i ralica).</w:t>
      </w:r>
    </w:p>
    <w:p/>
    <w:p>
      <w:pPr>
        <w:jc w:val="center"/>
        <w:pStyle w:val="Normal"/>
        <w:spacing w:line="240" w:lineRule="auto"/>
        <w:keepNext/>
      </w:pPr>
      <w:r>
        <w:rPr>
          <w:sz w:val="28"/>
          <w:rFonts w:ascii="Times New Roman" w:hAnsi="Times New Roman"/>
        </w:rPr>
        <w:t xml:space="preserve">Bilješka 42.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Ostala nematerijalna proizvedena imovina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480,0</w:t>
            </w:r>
          </w:p>
        </w:tc>
      </w:tr>
    </w:tbl>
    <w:p>
      <w:pPr>
        <w:spacing w:before="0" w:after="0"/>
      </w:pPr>
    </w:p>
    <w:p>
      <w:r>
        <w:t xml:space="preserve">· 4264 – ostala nematerijalna imovina 4.800,00 eura (povećanje 480,00%) nabavljena aplikacija za izradu 3D modela krškog oblika i integracija u aplikaciju za putovanje kroz vrijeme u sklopu provođenja projekta Interreg program Slovenija-Hrvatska 2021-2027 – transPlant.</w:t>
      </w:r>
    </w:p>
    <w:p/>
    <w:p>
      <w:pPr>
        <w:jc w:val="center"/>
        <w:pStyle w:val="Normal"/>
        <w:spacing w:line="240" w:lineRule="auto"/>
        <w:keepNext/>
      </w:pPr>
      <w:r>
        <w:rPr>
          <w:sz w:val="28"/>
          <w:rFonts w:ascii="Times New Roman" w:hAnsi="Times New Roman"/>
        </w:rPr>
        <w:t xml:space="preserve">Bilješka 43.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i primitaka raspoloživ u sljedećem razdoblju (šifre X005 + '9221-9222' - Y005 - '9222-9221')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44.667,30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7.636,91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17,1</w:t>
            </w:r>
          </w:p>
        </w:tc>
      </w:tr>
    </w:tbl>
    <w:p>
      <w:pPr>
        <w:spacing w:before="0" w:after="0"/>
      </w:pPr>
    </w:p>
    <w:p>
      <w:r>
        <w:t xml:space="preserve">U izvještajnom razdoblju Javna ustanova Nacionalni park Risnjak ostvarila je ukupne prihode od poslovanja u iznosu od 800.172,69 eura, a ukupne rashode od poslovanja u iznosu od 701.128,35 eura čime nastaje višak prihoda poslovanja u iznosu od 99.044,34 eura.</w:t>
      </w:r>
    </w:p>
    <w:p>
      <w:r>
        <w:t xml:space="preserve">U ovom izvještajnom razdoblju ostvareni su prihodi od prodaje nefinancijske imovine u iznosu od 1.057,60 eura, dok su rashodi od nefinancijske imovine nastali u iznosu od 243.384,31 eura, čime je nastao manjak od nefinancijske imovine u iznosu od 242.326,71 eura.</w:t>
      </w:r>
    </w:p>
    <w:p>
      <w:r>
        <w:t xml:space="preserve">Sukladno tome, na kraju trećeg kvartala nastali manjak prihoda i primitaka od 143.282,37 eura pokrivamo iz prenesenog viška prihoda i primitaka iz 2025. godine (150.919,28 eura), što znači da ovo obračunsko razdoblje završavamo sa 7.636,91 eura viška prihoda i primitaka.</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44.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427,47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427,47 eura dospjelih obveza, odnosi na račun TESORO IMK j.d.o.o. (130/1/1 – UR 664) koji je zaprimljen 28.09.2026, likvidiran je 29.09., no zbog obima posla proknjižen je i dan na plaćanje 01.10.2026.</w:t>
      </w:r>
    </w:p>
    <w:p/>
    <w:p>
      <w:pPr>
        <w:jc w:val="center"/>
        <w:pStyle w:val="Normal"/>
        <w:spacing w:line="240" w:lineRule="auto"/>
        <w:keepNext/>
      </w:pPr>
      <w:r>
        <w:rPr>
          <w:sz w:val="28"/>
          <w:rFonts w:ascii="Times New Roman" w:hAnsi="Times New Roman"/>
        </w:rPr>
        <w:t xml:space="preserve">Bilješka 45.</w:t>
      </w:r>
    </w:p>
    <w:p>
      <w:pPr>
        <w:jc w:val="both"/>
        <w:pStyle w:val="Normal"/>
        <w:spacing w:line="240" w:lineRule="auto"/>
      </w:pPr>
      <w:r>
        <w:rPr>
          <w:b/>
          <w:sz w:val="24"/>
          <w:rFonts w:ascii="Times New Roman" w:hAnsi="Times New Roman"/>
        </w:rPr>
        <w:t xml:space="preserve">EU izvještaj</w:t>
      </w:r>
    </w:p>
    <w:p>
      <w:r>
        <w:rPr>
          <w:b/>
        </w:rPr>
        <w:t xml:space="preserve">Podaci u EU izvještaju odnose se na provođenje slijedećih projekata:</w:t>
      </w:r>
    </w:p>
    <w:p>
      <w:r>
        <w:t xml:space="preserve">•         </w:t>
      </w:r>
      <w:r>
        <w:rPr>
          <w:i/>
        </w:rPr>
        <w:t xml:space="preserve">Interreg Program Slovenija-Hrvatska 2021.-2027. - transPlant sa Prirodoslovnim muzejem Rijeka temeljem Sporazuma o partnerstvu za standardni projekt u okviru prioriteta 1 i 3 (specifični cilj 6.2) </w:t>
      </w:r>
    </w:p>
    <w:p>
      <w:r>
        <w:t xml:space="preserve">30.962,07 eura tekuće pomoći temeljem prijenosa EU sredstava (6381) i 7.040,00 eura kapitalne pomoći temeljem prijenosa EU sredstava (6382) odnosi se na refundaciju troškova nastalih u sklopu 3. i 4. izvještajno razdoblje.</w:t>
      </w:r>
    </w:p>
    <w:p>
      <w:r>
        <w:t xml:space="preserve">Troškovi na kontima 3111, 3132 i 3212 odnose se na troškove voditelja projekta koji je plaću dobivao do 30.03.2026. (80%)</w:t>
      </w:r>
    </w:p>
    <w:p>
      <w:r>
        <w:t xml:space="preserve">3221- uredski materijal i ostali materijalni rashodi 40,00 eura izrada table projekta</w:t>
      </w:r>
    </w:p>
    <w:p>
      <w:r>
        <w:t xml:space="preserve">3231- usluge telefon, pošte i prijevoza 280,00 eura troškovi prijevoza dionika na stručnoj ekskurziji</w:t>
      </w:r>
    </w:p>
    <w:p>
      <w:r>
        <w:t xml:space="preserve">3293 - reprezentacija 573,00 eura – organizirana stručna ekskurzija na području Parka i Platka. Cilj aktivnosti je bio dijeljenje saznanja stečenih kroz provođenje projekta s dionicima u zaštiti prirode te interpretatorima prirode i turističkim vodičima vezano za prirodnu baštinu prekograničnog programskog područja s naglaskom na stanje populacija, metode praćenja stanja i potrebne mjere zaštite planinskih biljnih vrsta</w:t>
      </w:r>
    </w:p>
    <w:p>
      <w:r>
        <w:t xml:space="preserve">4221 - uredska oprema i namještaj 4.000,00 eura – nabavljen hardver za aplikaciju za putovanje kroz vrijeme u zgradi uprave</w:t>
      </w:r>
    </w:p>
    <w:p>
      <w:r>
        <w:t xml:space="preserve">4264 - ostala nematerijalna proizvedena imovina 4.800,00 eura - nabavljena aplikacija za izradu 3D modela krškog oblika i integracija u aplikaciju za putovanje kroz vrijeme u sklopu provođenja projekta Interreg program Slovenija-Hrvatska 2021-2027 – transPlant.</w:t>
      </w:r>
    </w:p>
    <w:p>
      <w:r>
        <w:t xml:space="preserve">•         „</w:t>
      </w:r>
      <w:r>
        <w:rPr>
          <w:i/>
        </w:rPr>
        <w:t xml:space="preserve">Poboljšano upravljanje Nacionalnim parkom Risnjak (kod projekta: PK.3.7.05.0006) u okviru Programa Konkurentnost i kohezija 2021.-2027. povezanih sa zaštitom okoliša, zaštitom prirode i vodnim gospodarstvom te, uključujući Specifični cilj RSO 2.7. Jačanje zaštite i očuvanja prirode, bioraznolikosti i zelene infrastrukture, među urbanim područjima, te smanjenje svih oblika onečišćenja </w:t>
      </w:r>
    </w:p>
    <w:p>
      <w:r>
        <w:t xml:space="preserve">Podaci u tablici su prikazani sukladno provedenim aktivnostima koje se pokrivaju u 85% iznosu dobivenim preko Ministarstva zaštite okoliša i zelene tranzicije za potrebe provedbe projekta.</w:t>
      </w:r>
    </w:p>
    <w:p>
      <w:r>
        <w:t xml:space="preserve">Pokriveni su troškovi bruto 1 plaće i obvezni doprinosi na plaću za stručnog savjetnika, čuvara prirode II. vrste i radnika na održavanju.</w:t>
      </w:r>
    </w:p>
    <w:p>
      <w:r>
        <w:t xml:space="preserve">Troškovi usluge uklanjanja bujadnica, košnje/malčiranja i održavanja travnjaka košnjom/malčiranjem, volonterske akcije, vanjske usluge administrativnog i financijskog upravljanja projektom, usluga pripreme i provedbe javne nabave, usluge izrade naljepnica i trajne ploče za obilježavanje provedbe projekta.</w:t>
      </w:r>
    </w:p>
    <w:p>
      <w:r>
        <w:t xml:space="preserve">Nabavljena je uredska informatička oprema i oprema za edukaciju – tableti, fotoaparati, opreme za monitoring – dron uz obuku za upravljanje.</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700806ef651437f" /></Relationships>
</file>