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c17d66e2181d4bdc"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22187</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JAVNA USTANOVA NACIONALNI PARK RISNJAK</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11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VI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488.446,10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430.980,98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428.752,13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386.641,76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59.693,97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44.339,22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74,3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1.057,60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2644,0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19.080,90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84.799,57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444,4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19.040,90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83.741,97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439,8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39.402,75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U izvještajnom razdoblju Javna ustanova Nacionalni park Risnjak ostavrila je ukupne prihode od poslovanja u iznosu od 430.980,98 eura, a ukupne rashode od poslovanja u iznosu od 386.641,76 eura čime nastaje višak prihoda poslovanja u iznosu od 44.339,22 eura. U ovom izvještajnom razdoblju ostvareni su prihodi od prodaje nefinancijske imovine u iznosu od 1.057,60 eura, dok su rashodi od nefinancijske imovine nastali u iznosu od 84.799,57 eura, čime je nastao manjak od nefinancijske imovine u iznosu od 83.741,97 eura. Sukladno tome, na kraju drugog kvartala nastali manjak prihoda i primitaka od 39.402,75 eura pokrivamo iz prenesenog viška prihoda i primitaka iz 2025. godine (150.919,28 eura), što znači da ovo obračunsko razdoblje završavamo sa 111.516,53 eura viška prihoda i primitaka.</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od izvanproračunskih korisnika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 ovom promatranom razdoblju na kontu tekuće pomoći od izvanproračunskih korisnika (šifra 6341) nije bilo ostvarenog prihoda, dok je u prošlogodišnjem promatranom razdoblju ostvaren prihod od 10.000,00 eura od Fonda za zaštitu okoliša i energetsku učinkovitost temeljem Ugovora br.2023/015245 o neposrednom sudjelovanju Fonda u financiranju izrade projektne dokumentacije za prijavu projekata za financiranje iz Programa „Konkurentnost i kohezija 2021.-2027. Specifični cilj 2.vii“ za troškove obrade i analize podataka i pregleda travnjaka s ciljem definiranja provedbe aktivnih mjera održavanja, zatim dalje,</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proračunskim korisnicima iz proračuna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 ovom razdoblju nije bilo ostvarenog prihoda dok je u prošlogodišnjem promatranom razdoblju ostvareno 11.000,00 eura, kapitalne pomoći proračunskim korisnicima iz proračuna koji im nije nadležan (šifra 6362) od Grada Bakra temeljem Ugovora za kupovinu ATV vozila s pratećom opremom, KLASA: 402-02/25-01/19, URBROJ: 2170-2-03/3-25-3</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8.627,88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19.136,01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221,8</w:t>
            </w:r>
          </w:p>
        </w:tc>
      </w:tr>
    </w:tbl>
    <w:p>
      <w:pPr>
        <w:spacing w:before="0" w:after="0"/>
      </w:pPr>
    </w:p>
    <w:p>
      <w:r>
        <w:t xml:space="preserve">19.136,01 eura tekuće pomoći temeljem prijenosa EU sredstava (6381) od Prirodoslovnog muzeja Rijeka temeljem Sporazuma o partnerstvu za standardni projekt u okviru prioriteta 1 i 3 (specifični cilj 6.2) Interreg Program Slovenija-Hrvatska 2021.-2027. – 3. izvještajno razdoblje </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Prijenosi između proračunskih korisnika istog proračuna (šifre 6391 do 6394)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110.869,65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30.263,00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27,3</w:t>
            </w:r>
          </w:p>
        </w:tc>
      </w:tr>
    </w:tbl>
    <w:p>
      <w:pPr>
        <w:spacing w:before="0" w:after="0"/>
      </w:pPr>
    </w:p>
    <w:p>
      <w:r>
        <w:t xml:space="preserve">Odlukom o dodjeli sredstava za podmirivanje rashoda za financiranje prioritetnih aktivnosti javnih ustanova nacionalnih parkova i parkova prirode u prošlogodišnjem razdoblju ostvareno više prihoda (npr. realizirana izdgradnja pješačkog mosta na Kupi)</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Tekući prijenosi između proračunskih korisnika istog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45.605,45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 ovom razdoblju nije bilo ostvarenog prihoda dok je u prošlogodišnjem promatranom razdoblju ostvareno 45.605,45 eura, Tekući prijenosi između proračunskih korisnika istog proračuna (šifra 6391) koji su doznačene iz Zajedničkih sredstava parkova Hrvatske temeljem ZIZS 6/2024, a sukladno Odluci o dodjeli sredstava za podmirivanje rashoda za financiranje prioritetnih aktivnosti javnih ustanova nacionalnih parkova i parkova prirode od 22.12.2023. godine (zaostatak iz 2024 godine), ZIZS 1 i ZIZS 2 sukladno Odluci o dodjeli sredstava za podmirivanje rashoda za financiranje prioritetnih aktivnosti javnih ustanova nacionalnih parkova i parkova prirode od 19.11.2024. godine iz Zajedničkih sredstava parkova Hrvatske</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Kapitalni prijenosi između proračunskih korisnika istog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65.264,20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30.263,00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46,4</w:t>
            </w:r>
          </w:p>
        </w:tc>
      </w:tr>
    </w:tbl>
    <w:p>
      <w:pPr>
        <w:spacing w:before="0" w:after="0"/>
      </w:pPr>
    </w:p>
    <w:p>
      <w:r>
        <w:t xml:space="preserve">30.263,00 eura kapitalni prijenosi između proračunskih korisnika istog proračuna (šifra 6392) koji su doznačeni iz Zajedničkih sredstava parkova Hrvatske temeljem ZIZS 1 sukladno Odluci o dodjeli sredstava za podmirivanje rashoda za financiranje prioritetnih aktivnosti javnih ustanova nacionalnih parkova i parkova prirode od 08.08.2025. godine, te ZIZS 1 sukladno Odluci o dodjeli sredstava za podmirivanje rashoda za financiranje prioritetnih aktivnosti javnih ustanova nacionalnih parkova i parkova prirode od 27.03.2026. godine za podmirivanje usluge stručnog nadzora nad izgradnjom pješačkog mosta i sufinanciranja (1/3 troškova) okončane situacije izgrađenog mosta zbog povećane količine materijala u odnosu na planiranu.</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zateznih kamata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43,04 eura prihoda od zateznih kamata temeljem rješenja o ovrsi Ovrv-8676/2025 nad Usluge Ogulin j.d.o.o.</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45.184,99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57.436,64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127,1</w:t>
            </w:r>
          </w:p>
        </w:tc>
      </w:tr>
    </w:tbl>
    <w:p>
      <w:pPr>
        <w:spacing w:before="0" w:after="0"/>
      </w:pPr>
    </w:p>
    <w:p>
      <w:r>
        <w:t xml:space="preserve">57.436,64 eura, odnosi se na prihode ostvarene prodajom ulaznica na području JU NP Risnjak (56.494,23 eura) i prihode s naslova osiguranja, refundacije štete i totalne štete (942,41 euro), gdje je došlo do povećanja od 27,10 %.</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pruženih usluga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31.681,82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30.370,84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95,9</w:t>
            </w:r>
          </w:p>
        </w:tc>
      </w:tr>
    </w:tbl>
    <w:p>
      <w:pPr>
        <w:spacing w:before="0" w:after="0"/>
      </w:pPr>
    </w:p>
    <w:tbl>
      <w:tblPr>
        <w:tblStyle w:val="TableGrid"/>
        <w:tblW w:w="5000" w:type="pct"/>
      </w:tblPr>
      <w:tblGrid>
        <w:gridCol w:w="3202"/>
        <w:gridCol w:w="3202"/>
        <w:gridCol w:w="3202"/>
      </w:tblGrid>
      <w:tr>
        <w:trPr>
          <w:trHeight w:val="542" w:hRule="atLeast"/>
        </w:trPr>
        <w:tc>
          <w:tcPr>
            <w:tcW w:w="1663" w:type="pct"/>
            <w:vAlign w:val="center"/>
          </w:tcPr>
          <w:p>
            <w:r>
              <w:t xml:space="preserve"> </w:t>
            </w:r>
          </w:p>
        </w:tc>
        <w:tc>
          <w:tcPr>
            <w:tcW w:w="1663" w:type="pct"/>
            <w:vAlign w:val="center"/>
          </w:tcPr>
          <w:p>
            <w:pPr>
              <w:keepNext/>
              <w:jc w:val="center"/>
            </w:pPr>
            <w:r>
              <w:rPr>
                <w:b/>
              </w:rPr>
              <w:t xml:space="preserve">6/2025.</w:t>
            </w:r>
          </w:p>
        </w:tc>
        <w:tc>
          <w:tcPr>
            <w:tcW w:w="1663" w:type="pct"/>
            <w:vAlign w:val="center"/>
          </w:tcPr>
          <w:p>
            <w:pPr>
              <w:keepNext/>
              <w:jc w:val="center"/>
            </w:pPr>
            <w:r>
              <w:rPr>
                <w:b/>
              </w:rPr>
              <w:t xml:space="preserve">6/2026.</w:t>
            </w:r>
          </w:p>
        </w:tc>
      </w:tr>
      <w:tr>
        <w:trPr>
          <w:trHeight w:val="878" w:hRule="atLeast"/>
        </w:trPr>
        <w:tc>
          <w:tcPr>
            <w:tcW w:w="1663" w:type="pct"/>
            <w:vAlign w:val="center"/>
          </w:tcPr>
          <w:p>
            <w:r>
              <w:t xml:space="preserve">Prihodi od pruženih usluga</w:t>
            </w:r>
          </w:p>
        </w:tc>
        <w:tc>
          <w:tcPr>
            <w:tcW w:w="1663" w:type="pct"/>
            <w:vAlign w:val="center"/>
          </w:tcPr>
          <w:p>
            <w:pPr>
              <w:keepNext/>
              <w:jc w:val="center"/>
            </w:pPr>
            <w:r>
              <w:t xml:space="preserve">1.005,92 eur</w:t>
            </w:r>
          </w:p>
        </w:tc>
        <w:tc>
          <w:tcPr>
            <w:tcW w:w="1663" w:type="pct"/>
            <w:vAlign w:val="center"/>
          </w:tcPr>
          <w:p>
            <w:pPr>
              <w:keepNext/>
              <w:jc w:val="center"/>
            </w:pPr>
            <w:r>
              <w:t xml:space="preserve">663,48 eur</w:t>
            </w:r>
          </w:p>
        </w:tc>
      </w:tr>
      <w:tr>
        <w:trPr>
          <w:trHeight w:val="542" w:hRule="atLeast"/>
        </w:trPr>
        <w:tc>
          <w:tcPr>
            <w:tcW w:w="1663" w:type="pct"/>
            <w:vAlign w:val="center"/>
          </w:tcPr>
          <w:p>
            <w:r>
              <w:t xml:space="preserve">Noćenje</w:t>
            </w:r>
          </w:p>
        </w:tc>
        <w:tc>
          <w:tcPr>
            <w:tcW w:w="1663" w:type="pct"/>
            <w:vAlign w:val="center"/>
          </w:tcPr>
          <w:p>
            <w:pPr>
              <w:keepNext/>
              <w:jc w:val="center"/>
            </w:pPr>
            <w:r>
              <w:t xml:space="preserve">4.539,86 eur</w:t>
            </w:r>
          </w:p>
        </w:tc>
        <w:tc>
          <w:tcPr>
            <w:tcW w:w="1663" w:type="pct"/>
            <w:vAlign w:val="center"/>
          </w:tcPr>
          <w:p>
            <w:pPr>
              <w:keepNext/>
              <w:jc w:val="center"/>
            </w:pPr>
            <w:r>
              <w:t xml:space="preserve">3.813,32 eur</w:t>
            </w:r>
          </w:p>
        </w:tc>
      </w:tr>
      <w:tr>
        <w:trPr>
          <w:trHeight w:val="542" w:hRule="atLeast"/>
        </w:trPr>
        <w:tc>
          <w:tcPr>
            <w:tcW w:w="1663" w:type="pct"/>
            <w:vAlign w:val="center"/>
          </w:tcPr>
          <w:p>
            <w:r>
              <w:t xml:space="preserve">Adrenalinski i bicikl</w:t>
            </w:r>
          </w:p>
        </w:tc>
        <w:tc>
          <w:tcPr>
            <w:tcW w:w="1663" w:type="pct"/>
            <w:vAlign w:val="center"/>
          </w:tcPr>
          <w:p>
            <w:pPr>
              <w:keepNext/>
              <w:jc w:val="center"/>
            </w:pPr>
            <w:r>
              <w:t xml:space="preserve">538,40 eur</w:t>
            </w:r>
          </w:p>
        </w:tc>
        <w:tc>
          <w:tcPr>
            <w:tcW w:w="1663" w:type="pct"/>
            <w:vAlign w:val="center"/>
          </w:tcPr>
          <w:p>
            <w:pPr>
              <w:keepNext/>
              <w:jc w:val="center"/>
            </w:pPr>
            <w:r>
              <w:t xml:space="preserve">0,00 eur</w:t>
            </w:r>
          </w:p>
        </w:tc>
      </w:tr>
      <w:tr>
        <w:trPr>
          <w:trHeight w:val="542" w:hRule="atLeast"/>
        </w:trPr>
        <w:tc>
          <w:tcPr>
            <w:tcW w:w="1663" w:type="pct"/>
            <w:vAlign w:val="center"/>
          </w:tcPr>
          <w:p>
            <w:r>
              <w:t xml:space="preserve">Najam</w:t>
            </w:r>
          </w:p>
        </w:tc>
        <w:tc>
          <w:tcPr>
            <w:tcW w:w="1663" w:type="pct"/>
            <w:vAlign w:val="center"/>
          </w:tcPr>
          <w:p>
            <w:pPr>
              <w:keepNext/>
              <w:jc w:val="center"/>
            </w:pPr>
            <w:r>
              <w:t xml:space="preserve">9.727,43 eur</w:t>
            </w:r>
          </w:p>
        </w:tc>
        <w:tc>
          <w:tcPr>
            <w:tcW w:w="1663" w:type="pct"/>
            <w:vAlign w:val="center"/>
          </w:tcPr>
          <w:p>
            <w:pPr>
              <w:keepNext/>
              <w:jc w:val="center"/>
            </w:pPr>
            <w:r>
              <w:t xml:space="preserve">9.951,88 eur</w:t>
            </w:r>
          </w:p>
        </w:tc>
      </w:tr>
      <w:tr>
        <w:trPr>
          <w:trHeight w:val="542" w:hRule="atLeast"/>
        </w:trPr>
        <w:tc>
          <w:tcPr>
            <w:tcW w:w="1663" w:type="pct"/>
            <w:vAlign w:val="center"/>
          </w:tcPr>
          <w:p>
            <w:r>
              <w:t xml:space="preserve">Ribolovne</w:t>
            </w:r>
          </w:p>
        </w:tc>
        <w:tc>
          <w:tcPr>
            <w:tcW w:w="1663" w:type="pct"/>
            <w:vAlign w:val="center"/>
          </w:tcPr>
          <w:p>
            <w:pPr>
              <w:keepNext/>
              <w:jc w:val="center"/>
            </w:pPr>
            <w:r>
              <w:t xml:space="preserve">7.565,80 eur</w:t>
            </w:r>
          </w:p>
        </w:tc>
        <w:tc>
          <w:tcPr>
            <w:tcW w:w="1663" w:type="pct"/>
            <w:vAlign w:val="center"/>
          </w:tcPr>
          <w:p>
            <w:pPr>
              <w:keepNext/>
              <w:jc w:val="center"/>
            </w:pPr>
            <w:r>
              <w:t xml:space="preserve">7.788,00 eur</w:t>
            </w:r>
          </w:p>
        </w:tc>
      </w:tr>
      <w:tr>
        <w:trPr>
          <w:trHeight w:val="542" w:hRule="atLeast"/>
        </w:trPr>
        <w:tc>
          <w:tcPr>
            <w:tcW w:w="1663" w:type="pct"/>
            <w:vAlign w:val="center"/>
          </w:tcPr>
          <w:p>
            <w:r>
              <w:t xml:space="preserve">Ostale usluge</w:t>
            </w:r>
          </w:p>
        </w:tc>
        <w:tc>
          <w:tcPr>
            <w:tcW w:w="1663" w:type="pct"/>
            <w:vAlign w:val="center"/>
          </w:tcPr>
          <w:p>
            <w:pPr>
              <w:keepNext/>
              <w:jc w:val="center"/>
            </w:pPr>
            <w:r>
              <w:t xml:space="preserve">3.722,80 eur</w:t>
            </w:r>
          </w:p>
        </w:tc>
        <w:tc>
          <w:tcPr>
            <w:tcW w:w="1663" w:type="pct"/>
            <w:vAlign w:val="center"/>
          </w:tcPr>
          <w:p>
            <w:pPr>
              <w:keepNext/>
              <w:jc w:val="center"/>
            </w:pPr>
            <w:r>
              <w:t xml:space="preserve">2.569,98 eur</w:t>
            </w:r>
          </w:p>
        </w:tc>
      </w:tr>
      <w:tr>
        <w:trPr/>
        <w:tc>
          <w:tcPr>
            <w:tcW w:w="1663" w:type="pct"/>
            <w:vAlign w:val="center"/>
          </w:tcPr>
          <w:p>
            <w:r>
              <w:t xml:space="preserve">Stručno vođenje</w:t>
            </w:r>
          </w:p>
        </w:tc>
        <w:tc>
          <w:tcPr>
            <w:tcW w:w="1663" w:type="pct"/>
            <w:vAlign w:val="center"/>
          </w:tcPr>
          <w:p>
            <w:pPr>
              <w:keepNext/>
              <w:jc w:val="center"/>
            </w:pPr>
            <w:r>
              <w:t xml:space="preserve">4.581,61 eur</w:t>
            </w:r>
          </w:p>
        </w:tc>
        <w:tc>
          <w:tcPr>
            <w:tcW w:w="1663" w:type="pct"/>
            <w:vAlign w:val="center"/>
          </w:tcPr>
          <w:p>
            <w:pPr>
              <w:keepNext/>
              <w:jc w:val="center"/>
            </w:pPr>
            <w:r>
              <w:t xml:space="preserve">5.584,18 eur</w:t>
            </w:r>
          </w:p>
        </w:tc>
      </w:tr>
    </w:tbl>
    <w:p>
      <w:r>
        <w:t xml:space="preserve"> </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256.842,01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278.649,52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108,5</w:t>
            </w:r>
          </w:p>
        </w:tc>
      </w:tr>
    </w:tbl>
    <w:p>
      <w:pPr>
        <w:spacing w:before="0" w:after="0"/>
      </w:pPr>
    </w:p>
    <w:p>
      <w:r>
        <w:t xml:space="preserve">278.649,52 eura dobivenih iz Državnog proračuna preko Ministarstva zaštite okoliša i zelene tranzicije, namijenjena je za financiranje rashoda za zaposlene, rashoda za materijalne rashode, rashode poslovanja za Program zaštite, održavanja, očuvanja, promicanja i korištenja za 17 zaposlenika i bespovratnih sredstava za financiranje projekta pod nazivom „Poboljšano upravljanje Nacionalnim parkom Risnjak (kod projekta: PK.3.7.05.0006) u okviru Programa Konkurentnost i kohezija 2021.-2027. povezanih sa zaštitom okoliša, zaštitom prirode i vodnim gospodarstvom te, uključujući Specifični cilj RSO 2.7. Jačanje zaštite i očuvanja prirode, bioraznolikosti i zelene infrastrukture, među urbanim područjima, te smanjenje svih oblika onečišćenja za 1 zaposlenika - Stručni savjetnik u Odjelu stručnih poslova zaštite, očuvanja i korištenja nacionalnog parka</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2.481,91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2.481,91 euro su bespovratnih sredstava iz nadležnog proračuna za financiranje rashoda za nabavu nefinancijske imovine (6712) za pokriće materijalni rashoda za financiranje projekta pod nazivom „Poboljšano upravljanje Nacionalnim parkom Risnjak (kod projekta: PK.3.7.05.0006) u okviru Programa Konkurentnost i kohezija 2021.-2027. povezanih sa zaštitom okoliša, zaštitom prirode i vodnim gospodarstvom te, uključujući Specifični cilj RSO 2.7. Jačanje zaštite i očuvanja prirode, bioraznolikosti i zelene infrastrukture, među urbanim područjima, te smanjenje svih oblika onečišćenja </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274,60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274,60 eura prihoda ostvarno temeljem rješenja o ovrsi Ovrv-8676/2025 nad Usluge Ogulin j.d.o.o.</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za rad na terenu i odvojeni život</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11.777,32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11.897,03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101,0</w:t>
            </w:r>
          </w:p>
        </w:tc>
      </w:tr>
    </w:tbl>
    <w:p>
      <w:pPr>
        <w:spacing w:before="0" w:after="0"/>
      </w:pPr>
    </w:p>
    <w:p>
      <w:r>
        <w:t xml:space="preserve">3212 – naknade za prijevoz na posao i s posla iznose 11.897,03 eura - čije cijene se usklađuju s kretanjem cijene goriva svakog posljednjeg utorka u mjesecu za umnožak postotka povećanja prosječne cijene goriva i faktora 0,7</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Stručno usavršavanje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1.879,00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w:t>
            </w:r>
          </w:p>
        </w:tc>
      </w:tr>
    </w:tbl>
    <w:p>
      <w:pPr>
        <w:spacing w:before="0" w:after="0"/>
      </w:pPr>
    </w:p>
    <w:p>
      <w:r>
        <w:t xml:space="preserve">3213 – seminari, savjetovanja i simpoziji 358,00 eura (smanjenje 80,90%) – jer su u prošlogodišnjem promatranom razdoblju pohađane edukacije zbog promjena koje su stupile na snagu u 2025. godini</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Uredski materijal i ostali materijalni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2.492,69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1.004,53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40,3</w:t>
            </w:r>
          </w:p>
        </w:tc>
      </w:tr>
    </w:tbl>
    <w:p>
      <w:pPr>
        <w:spacing w:before="0" w:after="0"/>
      </w:pPr>
    </w:p>
    <w:p>
      <w:r>
        <w:t xml:space="preserve">3221 – uredski materijal i ostali materijalni rashodi 1.004,53 eura (smanjenje 59,7%) – obuhvaća troškove nabavke uredskog materijala, sredstva za čišćenje i održavanja, te materijala za higijenske potrebe, dok je u prošlogodišnjem promatranom razdoblju još dodatno nabavljen materijala za potrebe provođenja projekta Interreg program Slovenija-Hrvatska 2021-2027 - transPlant </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Energija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10.946,03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12.620,27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115,3</w:t>
            </w:r>
          </w:p>
        </w:tc>
      </w:tr>
    </w:tbl>
    <w:p>
      <w:pPr>
        <w:spacing w:before="0" w:after="0"/>
      </w:pPr>
    </w:p>
    <w:p>
      <w:r>
        <w:t xml:space="preserve">3223 – energija 12.620,27 eura (povećanje 15,3%) - došlo je do povećanja troškova električne energije zbog rada ugostiteljstva, troškova goriva za vozni park i troškova nabave peleta za potrebe grijanja</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dijelovi za tekuće i investicijsko održavanje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3.938,62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6.531,02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165,8</w:t>
            </w:r>
          </w:p>
        </w:tc>
      </w:tr>
    </w:tbl>
    <w:p>
      <w:pPr>
        <w:spacing w:before="0" w:after="0"/>
      </w:pPr>
    </w:p>
    <w:p>
      <w:r>
        <w:t xml:space="preserve">3224 – materijal i dijelovi za tekuće i investicijsko održavanje 6.531,02 eura (povećanje 65,8%) zbog tekućeg održavanja na Opel Vivaro, Škodi Karoq i Dacii Duster, popravku teleskopske motorne pile, te redovnih tekućih i investicijskih popravaka na objektima JU NP Risnjak</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Sitni inventar i autogume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4.337,21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877,02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20,2</w:t>
            </w:r>
          </w:p>
        </w:tc>
      </w:tr>
    </w:tbl>
    <w:p>
      <w:pPr>
        <w:spacing w:before="0" w:after="0"/>
      </w:pPr>
    </w:p>
    <w:p>
      <w:r>
        <w:t xml:space="preserve">3225 – sitan inventar i auto gume 877,02 eura (smanjenje 79,8 %) – nabavljene police za stručnu službu, skladište (stručna, projekti) i info kućicu u Kuparima, table za oznaku ribolovne zone na Kupina, regulatori za radijatore, rolo sjenilo za ured suradnika na projektu PKK, te zastava sa logom JU NP Risnjak dok je u 2025. godini nabavljena posteljina za Hostel i gume za Škodu Karoq, Dacia Duster i Dacia Duster-natura</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radna i zaštitna odjeća i obuća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1.659,15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457,9</w:t>
            </w:r>
          </w:p>
        </w:tc>
      </w:tr>
    </w:tbl>
    <w:p>
      <w:pPr>
        <w:spacing w:before="0" w:after="0"/>
      </w:pPr>
    </w:p>
    <w:p>
      <w:r>
        <w:t xml:space="preserve">3227 – službena, radna i zaštitna odjeća i obuća 1.659,15 eura (povećanje 457,9%) – nabavljene gojzerice za odjel čuvara prirode, te radno-tehnička odjeća</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telefona, interneta, pošte i prijevoza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1.181,98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1.348,42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114,1</w:t>
            </w:r>
          </w:p>
        </w:tc>
      </w:tr>
    </w:tbl>
    <w:p>
      <w:pPr>
        <w:spacing w:before="0" w:after="0"/>
      </w:pPr>
    </w:p>
    <w:p>
      <w:r>
        <w:t xml:space="preserve">3231 – usluge telefona, interneta, pošte i prijevoza 1.348,42 eura (povećanje 14,1%) obuhvaća redovne troškove te troškove prijevoza organizirane stručne ekskurzije za interpretatore prirode i turističke vodiče u sklopu Interreg Program Slovenija-Hrvatska 2021.-2027.</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3.843,93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6.698,20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174,3</w:t>
            </w:r>
          </w:p>
        </w:tc>
      </w:tr>
    </w:tbl>
    <w:p>
      <w:pPr>
        <w:spacing w:before="0" w:after="0"/>
      </w:pPr>
    </w:p>
    <w:p>
      <w:r>
        <w:t xml:space="preserve">3232 – usluge tekućeg i investicijskog održavanja 6.698,20 eura (povećanje 74,3%) – obavljen servis peći na pelete u Upravi i popravak teleskopske motorne pile, servis na Opel Vivaro, Mitsubichi Outlander, Dacia Duster, Dacia Duster-Natura, Škoda Karoq, usluga ispitivanja sustava za dojavu požara, čišćenje ceste Razloge-Hrvatsko, uklanjanje drvenog WC-a i odvoz, popravak ulaznih vrata na zgradi Upravne zgrade te ispitivanje fizikalnih čimbenika radnog okoliša i unutarnje ispitivanje hidrantske mreže</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promidžbe i informiranja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1.932,55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6.294,35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325,7</w:t>
            </w:r>
          </w:p>
        </w:tc>
      </w:tr>
    </w:tbl>
    <w:p>
      <w:pPr>
        <w:spacing w:before="0" w:after="0"/>
      </w:pPr>
    </w:p>
    <w:p>
      <w:r>
        <w:t xml:space="preserve">3233 – usluge promidžbe i informiranja 6.294,35 eura (povećanje 325,7 %) odnose se na troškove nabave tiskanih ulaznica, mjesečnog održavanja web stranice, objave tiskanog članka u Tip kreativi, tiska prospekta Kupa, oglašavanja na jumbo plakatima, te objave oglasa u tiskanom izdanju vodiča Adriatic Explore</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6.260,46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9.053,48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144,6</w:t>
            </w:r>
          </w:p>
        </w:tc>
      </w:tr>
    </w:tbl>
    <w:p>
      <w:pPr>
        <w:spacing w:before="0" w:after="0"/>
      </w:pPr>
    </w:p>
    <w:p>
      <w:r>
        <w:t xml:space="preserve">3234 – komunalne usluge 9.053,48 eura (povećanje 44,6%) temeljem čl 75.,76. i 77. Zakona o gospodarenju otpadom, te sukladno Odlukama o načinu pružanja javne usluge sakupljanja komunalnog otpada, Grad Delnice i Općina Mrkopalj su donijele odluku o cjeniku javne usluge prikupljanja miješanog komunalnog otpada gdje je cijena obvezne minimalne javne usluge za ne kućanstvo 26,86 eura bez PDV-a plus iznos cijene po količini miješanog komunalnog otpada 0,0176 €/litri bez PDV-a odnosno prema pražnjenju zaduženog volumena spremnika (122,240,770,1100 l), te NUV za zemljišta u granicama nacionalnog parka u mjesečnom iznosu od 722,59 eura (6 rata za 2026. godinu)</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Zakupnine i najamnine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790,32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1.045,72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132,3</w:t>
            </w:r>
          </w:p>
        </w:tc>
      </w:tr>
    </w:tbl>
    <w:p>
      <w:pPr>
        <w:spacing w:before="0" w:after="0"/>
      </w:pPr>
    </w:p>
    <w:p>
      <w:r>
        <w:t xml:space="preserve">3235 – zakupnine i najamnine 1.045,72 eura (povećanje 32,3%) odnosi se na troškove najma poslovnih prostora u Mrkoplju i Crnom Lugu, te mjesečnog najma printera i coolera za vodu</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Zdravstvene i veterinarske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315,22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1.425,92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452,4</w:t>
            </w:r>
          </w:p>
        </w:tc>
      </w:tr>
    </w:tbl>
    <w:p>
      <w:pPr>
        <w:spacing w:before="0" w:after="0"/>
      </w:pPr>
    </w:p>
    <w:p>
      <w:r>
        <w:t xml:space="preserve">3236 – zdravstvene i veterinarske usluge 1.425,92 eura (povećanje 452,4%)- zdravstveni pregledi četiri zaposlenika sukladno kolektivnom ugovoru, redovni zdravstveni pregledi sposobnosti radnika određene pravilnikom o poslovima s posebnim uvjetima rada za djelatnika u odjeljku tehničkih poslova i poslova održavanja infrastrukture, te cijepljenje protiv krpeljnog meningoencefalitisa djelatnika odjela čuvara prirode i poodsjeka promocije i ugostiteljstva</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Računalne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21.267,78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11.322,19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53,2</w:t>
            </w:r>
          </w:p>
        </w:tc>
      </w:tr>
    </w:tbl>
    <w:p>
      <w:pPr>
        <w:spacing w:before="0" w:after="0"/>
      </w:pPr>
    </w:p>
    <w:p>
      <w:r>
        <w:t xml:space="preserve">3238 – računalne usluge 11.322,19 eura (smanjenje 46,8%) – odnose se na mjesečne troškove zakupa licenci aplikativnog rješenja „Virga“ i dodatne podrške, dok je u prošlogodišnjem promatranom razdoblju podmiren godišnji troška zakupa licenci aplikativnog rješenja „Virga“ sa dodatnom podrškom</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1.678,98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2.239,94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133,4</w:t>
            </w:r>
          </w:p>
        </w:tc>
      </w:tr>
    </w:tbl>
    <w:p>
      <w:pPr>
        <w:spacing w:before="0" w:after="0"/>
      </w:pPr>
    </w:p>
    <w:p>
      <w:r>
        <w:t xml:space="preserve">3239 – ostale usluge 2.239,94 eura (povećanje 33,4%) – odnose se na troškove usluge registracije prijevoznih sredstava, troškova eCertifikata, godišnje naknade obavljanja poslova zaštite na radu temeljem ugovora, tiska kartonskih ulaznica parkovi hrvatske, usluga pranje i peglanja posteljine, deka, jastuka iz planinarskog doma Risnjak, te troškova digitalnih certifikata za potrebe redovnog poslovanja</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rad predstavničkih i izvršnih tijela, povjerenstava i slično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3.832,60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4.460,73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116,4</w:t>
            </w:r>
          </w:p>
        </w:tc>
      </w:tr>
    </w:tbl>
    <w:p>
      <w:pPr>
        <w:spacing w:before="0" w:after="0"/>
      </w:pPr>
    </w:p>
    <w:p>
      <w:r>
        <w:t xml:space="preserve">3291 – naknade za rad predstavničinih i izvršnih tijela, povjerenstva i sl. 4.460,73 eura (povećanje 16,4%) temeljem redovnih online i uživo sjednica UV</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Reprezentacija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1.749,99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2.370,95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135,5</w:t>
            </w:r>
          </w:p>
        </w:tc>
      </w:tr>
    </w:tbl>
    <w:p>
      <w:pPr>
        <w:spacing w:before="0" w:after="0"/>
      </w:pPr>
    </w:p>
    <w:p>
      <w:r>
        <w:t xml:space="preserve">3293 – reprezentacija 2.370,95 eura (povećanje 35,5%) zbog aktivnosti izgradnje poslovnih odnosa s klijentima i poslovnim partnerima, te organizacije i sudjelovanja na događanjima (transPlant)</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739,35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903,97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122,3</w:t>
            </w:r>
          </w:p>
        </w:tc>
      </w:tr>
    </w:tbl>
    <w:p>
      <w:pPr>
        <w:spacing w:before="0" w:after="0"/>
      </w:pPr>
    </w:p>
    <w:p>
      <w:r>
        <w:t xml:space="preserve">3295 – pristojbe i naknade 903,97 euro (povećanje 22,3%) - RTV pristojbe, troškovi javnobilježničke ovjere odluke i suglasnosti o donošenju Statuta JU NP Risnjak, postupaka za pokretanje ovrhe nad Ogulin Usluge j.d.o.o., te naknade za prodane dozvole za športski ribolov</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47,2</w:t>
            </w:r>
          </w:p>
        </w:tc>
      </w:tr>
    </w:tbl>
    <w:p>
      <w:pPr>
        <w:spacing w:before="0" w:after="0"/>
      </w:pPr>
    </w:p>
    <w:p>
      <w:r>
        <w:t xml:space="preserve">3299 – ostali nespomenuti rashodi poslovanja 7,96 eura (smanjenje 92,02%) – troškovi vlastite potrošnje</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Bankarske usluge i usluge platnog prometa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900,49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1.099,81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122,1</w:t>
            </w:r>
          </w:p>
        </w:tc>
      </w:tr>
    </w:tbl>
    <w:p>
      <w:pPr>
        <w:spacing w:before="0" w:after="0"/>
      </w:pPr>
    </w:p>
    <w:p>
      <w:r>
        <w:t xml:space="preserve">3431 – bankarske usluge i usluge platnog prometa 1.099,81 eura (povećanje 22,1%) zbog podizanja vrećica za dnevno noćni trezor, te porasta mjesečnih troškova održavanja računa i korištenja NetBanking i nBanking usluge sukladno odluci o Naknadama za usluge platnog prometa u poslovanju s poslovnim subjektima na snazi od 01.05.2026.</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Zatezne kamate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208,5</w:t>
            </w:r>
          </w:p>
        </w:tc>
      </w:tr>
    </w:tbl>
    <w:p>
      <w:pPr>
        <w:spacing w:before="0" w:after="0"/>
      </w:pPr>
    </w:p>
    <w:p>
      <w:r>
        <w:t xml:space="preserve">3433 – zatezne kamate 1,48 euro (povećanje 208,5%) zbog nepodmirenja troška u predviđenom vremenskom roku i razdjeljivanja odjela Zagrebačkog holdinga te uvođenja zasebnih računa</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financijski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3434 – ostali nespomenuti financijski rashodi 392,25 eura temeljem poreznog rješenja KLASA:UP/I-410-24/2026-02/01693, URBROJ:513-07-01-010-2026-01 kojim se utvrđuje za 2025. godinu porez na nekretninu Zagreb, Zagrebačka cesta 185</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Tekući prijenosi između proračunskih korisnika istog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169,91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w:t>
            </w:r>
          </w:p>
        </w:tc>
      </w:tr>
    </w:tbl>
    <w:p>
      <w:pPr>
        <w:spacing w:before="0" w:after="0"/>
      </w:pPr>
    </w:p>
    <w:p>
      <w:r>
        <w:t xml:space="preserve">33,27 eura (smanjenje 80,4%), a odnosi se na uplatu 3% u Državni proračun sukladno Pravilniku o mjerilima i načinu korištenja nenamjenskih donacija i vlastitih prihoda u Zajednički fond PP i NP za razdoblje od 01.12.-31.12.2025. godine temeljem ostvarenih prihoda od prodaje ulaznica za spomenuto razdoblje.</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Uređaji, strojevi i oprema za ostale namjene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1.057,60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Ostvareni prihodi u iznosu 1.057,60 eura temeljem oglasa za prodaju putem licitacije – usmenog javnog nadmetanja sukladno čl. 21 Statuta JU NP Risnjak, a temeljem Odluke Ravnatelja o prodaji osnovnih sredstava (KLASA:406-02/26-01/02, URBROJ:2170-6-2-01-26-01)</w:t>
      </w:r>
    </w:p>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građevinski objekti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14.145,50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72.643,78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513,5</w:t>
            </w:r>
          </w:p>
        </w:tc>
      </w:tr>
    </w:tbl>
    <w:p>
      <w:pPr>
        <w:spacing w:before="0" w:after="0"/>
      </w:pPr>
    </w:p>
    <w:p>
      <w:r>
        <w:t xml:space="preserve">4214 – ostali građevinski objekti 72.643,78 eura (povećanje 513,5%) za troškove stručnog nadzora nad izgradnjom pješačkog mosta u nacionalnom parku Risnjak, okončane situacije temeljem Ugovora o javnoj nabavi za izgradnju pješačkog mosta preko Kupe u Gornjim Kuparima, te troškove adaptiranja radione</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Uredska oprema i namještaj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1.415,40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7.355,79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519,7</w:t>
            </w:r>
          </w:p>
        </w:tc>
      </w:tr>
    </w:tbl>
    <w:p>
      <w:pPr>
        <w:spacing w:before="0" w:after="0"/>
      </w:pPr>
    </w:p>
    <w:p>
      <w:r>
        <w:t xml:space="preserve">4221 – uredska oprema i namještaj 7.355,79 eura (povećanje 519,7%) nabavljena je uredska informatička oprema za potrebe projekta "Poboljšano upravljanje Nacionalnim parkom Risnjak'" referentne oznake PK.3.7.05.0006, hardver za aplikaciju za putovanje kroz vrijeme u zgradi uprave u sklopu projekta Interreg program Slovenija-Hrvatska 2021-2027 – transPlant, te printer, čitač i router za potrebe rada info kućice u Kuparima</w:t>
      </w:r>
    </w:p>
    <w:p/>
    <w:p>
      <w:pPr>
        <w:jc w:val="center"/>
        <w:pStyle w:val="Normal"/>
        <w:spacing w:line="240" w:lineRule="auto"/>
        <w:keepNext/>
      </w:pPr>
      <w:r>
        <w:rPr>
          <w:sz w:val="28"/>
          <w:rFonts w:ascii="Times New Roman" w:hAnsi="Times New Roman"/>
        </w:rPr>
        <w:t xml:space="preserve">Bilješka 40.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Komunikacijska oprema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4222 – komunikacijska oprema, u ovom izvještajnom razdoblju nije bilo ostvarenih rashoda dok je u prošlogodišnjem promatranom razdoblju nabavljeni mobiteli za djelatnike</w:t>
      </w:r>
    </w:p>
    <w:p/>
    <w:p>
      <w:pPr>
        <w:jc w:val="center"/>
        <w:pStyle w:val="Normal"/>
        <w:spacing w:line="240" w:lineRule="auto"/>
        <w:keepNext/>
      </w:pPr>
      <w:r>
        <w:rPr>
          <w:sz w:val="28"/>
          <w:rFonts w:ascii="Times New Roman" w:hAnsi="Times New Roman"/>
        </w:rPr>
        <w:t xml:space="preserve">Bilješka 41.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Uređaji, strojevi i oprema za ostale namjene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4227 – uređaji, strojevi i oprema u ovom izvještajnom razdoblju nije bilo evidentiranih rashoda dok su u 2025.godini nabavljeni datalogeri za potrebe provođenja projekta Interreg program Slovenija-Hrvatska 2021-2027 – transPlant</w:t>
      </w:r>
    </w:p>
    <w:p/>
    <w:p>
      <w:pPr>
        <w:jc w:val="center"/>
        <w:pStyle w:val="Normal"/>
        <w:spacing w:line="240" w:lineRule="auto"/>
        <w:keepNext/>
      </w:pPr>
      <w:r>
        <w:rPr>
          <w:sz w:val="28"/>
          <w:rFonts w:ascii="Times New Roman" w:hAnsi="Times New Roman"/>
        </w:rPr>
        <w:t xml:space="preserve">Bilješka 42.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Ostala nematerijalna proizvedena imovina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480,0</w:t>
            </w:r>
          </w:p>
        </w:tc>
      </w:tr>
    </w:tbl>
    <w:p>
      <w:pPr>
        <w:spacing w:before="0" w:after="0"/>
      </w:pPr>
    </w:p>
    <w:p>
      <w:r>
        <w:t xml:space="preserve">4264 – ostala nematerijalna imovina 4.800,00 eura (povećanje 480,00%) nabavljena aplikacija za izradu 3D modela krškog oblika i integracija u aplikaciju za putovanje kroz vrijeme u sklopu provođenja projekta Interreg program Slovenija-Hrvatska 2021-2027 – transPlant</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43.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797,68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797,68 eura dospjelih obveza, odnosi na račun Grada Delnice (KN26-2286 - UR 408) čija je valuta plaćanja bila 30.06.2026, a račun je stigao poštom 30.06.2026. Nakon izvršene likvidacije račun je podmiren 02.07.2026</w:t>
      </w:r>
    </w:p>
    <w:p/>
    <w:p>
      <w:pPr>
        <w:jc w:val="center"/>
        <w:pStyle w:val="Normal"/>
        <w:spacing w:line="240" w:lineRule="auto"/>
        <w:keepNext/>
      </w:pPr>
      <w:r>
        <w:rPr>
          <w:sz w:val="28"/>
          <w:rFonts w:ascii="Times New Roman" w:hAnsi="Times New Roman"/>
        </w:rPr>
        <w:t xml:space="preserve">Bilješka 44.</w:t>
      </w:r>
    </w:p>
    <w:p>
      <w:pPr>
        <w:jc w:val="both"/>
        <w:pStyle w:val="Normal"/>
        <w:spacing w:line="240" w:lineRule="auto"/>
      </w:pPr>
      <w:r>
        <w:rPr>
          <w:b/>
          <w:sz w:val="24"/>
          <w:rFonts w:ascii="Times New Roman" w:hAnsi="Times New Roman"/>
        </w:rPr>
        <w:t xml:space="preserve">EU izvještaj</w:t>
      </w:r>
    </w:p>
    <w:p>
      <w:r>
        <w:t xml:space="preserve">Podaci u EU izvještaju odnose se na provođenje slijedećih projekata:</w:t>
      </w:r>
    </w:p>
    <w:p>
      <w:pPr>
        <w:pStyle w:val="ListParagraph"/>
        <w:numPr>
          <w:ilvl w:val="0"/>
          <w:numId w:val="2"/>
        </w:numPr>
      </w:pPr>
      <w:r>
        <w:t xml:space="preserve">Interreg Program Slovenija-Hrvatska 2021.-2027. - transPlant sa Prirodoslovnim muzejem Rijeka temeljem Sporazuma o partnerstvu za standardni projekt u okviru prioriteta 1 i 3 (specifični cilj 6.2) </w:t>
      </w:r>
    </w:p>
    <w:p>
      <w:pPr>
        <w:pStyle w:val="ListParagraph"/>
        <w:numPr>
          <w:ilvl w:val="0"/>
          <w:numId w:val="2"/>
        </w:numPr>
      </w:pPr>
      <w:r>
        <w:t xml:space="preserve">„Poboljšano upravljanje Nacionalnim parkom Risnjak (kod projekta: PK.3.7.05.0006) u okviru Programa Konkurentnost i kohezija 2021.-2027. povezanih sa zaštitom okoliša, zaštitom prirode i vodnim gospodarstvom te, uključujući Specifični cilj RSO 2.7. Jačanje zaštite i očuvanja prirode, bioraznolikosti i zelene infrastrukture, među urbanim područjima, te smanjenje svih oblika onečišćenja </w:t>
      </w:r>
    </w:p>
    <w:p>
      <w:r>
        <w:t xml:space="preserve">Podaci u tablici su prikazani sukladno provedenim aktivnostima</w:t>
      </w:r>
    </w:p>
    <w:p/>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4d39b41b07c64574" /><Relationship Type="http://schemas.openxmlformats.org/officeDocument/2006/relationships/numbering" Target="/word/numbering.xml" Id="Ra93867bf14074eda" /></Relationships>
</file>