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c3c68499fefe41da" /></Relationships>
</file>

<file path=word/document.xml><?xml version="1.0" encoding="utf-8"?>
<w:document xmlns:w="http://schemas.openxmlformats.org/wordprocessingml/2006/main">
  <w:body>
    <w:tbl>
      <w:tblPr>
        <w:tblW w:w="9000" w:type="dxa"/>
        <w:tblBorders>
          <w:top w:val="nil"/>
          <w:bottom w:val="nil"/>
          <w:left w:val="nil"/>
          <w:right w:val="nil"/>
          <w:insideH w:val="nil"/>
          <w:insideV w:val="nil"/>
        </w:tblBorders>
        <w:tblCellSpacing w:w="60" w:type="dxa"/>
        <w:shd w:val="clear" w:color="auto" w:fill="E7F0F9"/>
      </w:tblPr>
      <w:tblGrid>
        <w:gridCol w:w="1200"/>
        <w:gridCol w:w="4500"/>
      </w:tblGrid>
      <w:tr>
        <w:tc>
          <w:tcPr>
            <w:tcW w:w="1200" w:type="pct"/>
            <w:shd w:val="clear" w:color="auto" w:fill="E7F0F9"/>
          </w:tcPr>
          <w:p>
            <w:pPr>
              <w:spacing w:before="0" w:after="0" w:line="240" w:lineRule="auto"/>
              <w:jc w:val="left"/>
            </w:pPr>
            <w:r>
              <w:rPr>
                <w:b/>
              </w:rPr>
              <w:t xml:space="preserve">RKP broj</w:t>
            </w:r>
          </w:p>
        </w:tc>
        <w:tc>
          <w:tcPr>
            <w:shd w:val="clear" w:color="auto" w:fill="E7F0F9"/>
          </w:tcPr>
          <w:p>
            <w:pPr>
              <w:spacing w:before="0" w:after="0" w:line="240" w:lineRule="auto"/>
              <w:jc w:val="left"/>
            </w:pPr>
            <w:r>
              <w:t xml:space="preserve">22187</w:t>
            </w:r>
          </w:p>
        </w:tc>
      </w:tr>
      <w:tr>
        <w:tc>
          <w:tcPr>
            <w:tcW w:w="1200" w:type="pct"/>
            <w:shd w:val="clear" w:color="auto" w:fill="E7F0F9"/>
          </w:tcPr>
          <w:p>
            <w:pPr>
              <w:spacing w:before="0" w:after="0" w:line="240" w:lineRule="auto"/>
              <w:jc w:val="left"/>
            </w:pPr>
            <w:r>
              <w:rPr>
                <w:b/>
              </w:rPr>
              <w:t xml:space="preserve">Naziv obveznika</w:t>
            </w:r>
          </w:p>
        </w:tc>
        <w:tc>
          <w:tcPr>
            <w:shd w:val="clear" w:color="auto" w:fill="E7F0F9"/>
          </w:tcPr>
          <w:p>
            <w:pPr>
              <w:spacing w:before="0" w:after="0" w:line="240" w:lineRule="auto"/>
              <w:jc w:val="left"/>
            </w:pPr>
            <w:r>
              <w:t xml:space="preserve">JAVNA USTANOVA NACIONALNI PARK RISNJAK</w:t>
            </w:r>
          </w:p>
        </w:tc>
      </w:tr>
      <w:tr>
        <w:tc>
          <w:tcPr>
            <w:tcW w:w="1200" w:type="pct"/>
            <w:shd w:val="clear" w:color="auto" w:fill="E7F0F9"/>
          </w:tcPr>
          <w:p>
            <w:pPr>
              <w:spacing w:before="0" w:after="0" w:line="240" w:lineRule="auto"/>
              <w:jc w:val="left"/>
            </w:pPr>
            <w:r>
              <w:rPr>
                <w:b/>
              </w:rPr>
              <w:t xml:space="preserve">Razina</w:t>
            </w:r>
          </w:p>
        </w:tc>
        <w:tc>
          <w:tcPr>
            <w:shd w:val="clear" w:color="auto" w:fill="E7F0F9"/>
          </w:tcPr>
          <w:p>
            <w:pPr>
              <w:spacing w:before="0" w:after="0" w:line="240" w:lineRule="auto"/>
              <w:jc w:val="left"/>
            </w:pPr>
            <w:r>
              <w:t xml:space="preserve">11</w:t>
            </w:r>
          </w:p>
        </w:tc>
      </w:tr>
    </w:tbl>
    <w:p>
      <w:r>
        <w:br/>
      </w:r>
    </w:p>
    <w:p>
      <w:pPr>
        <w:jc w:val="center"/>
        <w:pStyle w:val="Normal"/>
        <w:spacing w:line="240" w:lineRule="auto"/>
      </w:pPr>
      <w:r>
        <w:rPr>
          <w:b/>
          <w:sz w:val="28"/>
          <w:rFonts w:ascii="Times New Roman" w:hAnsi="Times New Roman"/>
        </w:rPr>
        <w:t xml:space="preserve">BILJEŠKE UZ FINANCIJSKE IZVJEŠTAJE</w:t>
      </w:r>
    </w:p>
    <w:p>
      <w:pPr>
        <w:jc w:val="center"/>
        <w:pStyle w:val="Normal"/>
        <w:spacing w:line="240" w:lineRule="auto"/>
      </w:pPr>
      <w:r>
        <w:rPr>
          <w:b/>
          <w:sz w:val="28"/>
          <w:rFonts w:ascii="Times New Roman" w:hAnsi="Times New Roman"/>
        </w:rPr>
        <w:t xml:space="preserve">ZA RAZDOBLJE</w:t>
      </w:r>
    </w:p>
    <w:p>
      <w:pPr>
        <w:jc w:val="center"/>
        <w:pStyle w:val="Normal"/>
        <w:spacing w:line="240" w:lineRule="auto"/>
      </w:pPr>
      <w:r>
        <w:rPr>
          <w:b/>
          <w:sz w:val="28"/>
          <w:rFonts w:ascii="Times New Roman" w:hAnsi="Times New Roman"/>
        </w:rPr>
        <w:t xml:space="preserve">I - III 2026.</w:t>
      </w:r>
    </w:p>
    <w:p/>
    <w:p>
      <w:pPr>
        <w:jc w:val="center"/>
        <w:pStyle w:val="Normal"/>
        <w:spacing w:line="240" w:lineRule="auto"/>
        <w:keepNext/>
      </w:pPr>
      <w:r>
        <w:rPr>
          <w:b/>
          <w:sz w:val="28"/>
          <w:rFonts w:ascii="Times New Roman" w:hAnsi="Times New Roman"/>
        </w:rPr>
        <w:t xml:space="preserve">Izvještaj o prihodima i rashodima, primicima i izdacima</w:t>
      </w:r>
    </w:p>
    <w:p>
      <w:pPr>
        <w:jc w:val="center"/>
        <w:pStyle w:val="Normal"/>
        <w:spacing w:line="240" w:lineRule="auto"/>
        <w:keepNext/>
      </w:pPr>
      <w:r>
        <w:rPr>
          <w:sz w:val="28"/>
          <w:rFonts w:ascii="Times New Roman" w:hAnsi="Times New Roman"/>
        </w:rPr>
        <w:t xml:space="preserve">Bilješka 1.</w:t>
      </w:r>
    </w:p>
    <w:tbl>
      <w:tblPr>
        <w:tblBorders>
          <w:top w:val="single" w:color="BABABA" w:sz="12"/>
          <w:bottom w:val="single" w:color="BABABA" w:sz="12"/>
          <w:left w:val="single" w:color="BABABA" w:sz="12"/>
          <w:right w:val="single" w:color="BABABA" w:sz="12"/>
          <w:insideH w:val="single" w:color="BABABA" w:sz="8"/>
          <w:insideV w:val="single" w:color="DADADA" w:sz="8"/>
        </w:tblBorders>
        <w:tblW w:w="0" w:type="auto"/>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214.815,06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153.711,73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71,6</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203.817,65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146.553,11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71,9</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 PRIHODA POSLOVANJA (šifre 6-Z005)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10.997,41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7.158,62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65,1</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nefinancijske imovine (šifre 71+72+73+74)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2.879,92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20.795,46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722,1</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OD NEFINANCIJSKE IMOVINE (šifre 4-7)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2.879,92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20.795,46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722,1</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Primici od financijske imovine i zaduživanja (šifre 81+82+83+84+85)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Izdaci za financijsku imovinu i otplate zajmova (šifre 51+52+53+54+55)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VIŠAK/MANJAK PRIMITAKA OD FINANCIJSKE IMOVINE I ZADUŽIVANJA (šifre 8-5, 5-8)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X003, Y003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I PRIMITAKA (šifre Y345-X678)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13.636,84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bl>
    <w:p>
      <w:pPr>
        <w:spacing w:before="0" w:after="0"/>
      </w:pPr>
    </w:p>
    <w:p>
      <w:r>
        <w:t xml:space="preserve">U izvještajnom razdoblju Javna ustanova Nacionalni park Risnjak ostavrila je ukupne prihode od poslovanja u iznosu od 153.711,73 eura, a ukupne rashode od poslovanja u iznosu od 146.553,11 eura čime nastaje višak prihoda poslovanja u iznosu od 7.158,62 eura. Također, u ovom izvještajnom razdoblju nisu ostvareni prihodi od prodaje nefinancijske imovine, dok su rashodi od nefinancijske imovine nastali u iznosu od 20.795,46 eura, čime je nastao manjak od nefinancijske imovine u iznosu od 20.795,46 eura. Sukladno tome, na kraju prvog kvartala nastali manjak prihoda i primitaka od 13.636,84 eura pokrivamo iz prenesenog viška prihoda i primitaka iz 2025. godine (150.919,28 eura), što znači da ovo obračunsko razdoblje završavamo sa 137.282,44 eura viška prihoda i primitaka.</w:t>
      </w:r>
    </w:p>
    <w:p>
      <w:r>
        <w:t xml:space="preserve"> </w:t>
      </w:r>
    </w:p>
    <w:p>
      <w:r>
        <w:br/>
      </w:r>
    </w:p>
    <w:p>
      <w:pPr>
        <w:jc w:val="center"/>
        <w:pStyle w:val="Normal"/>
        <w:spacing w:line="240" w:lineRule="auto"/>
        <w:keepNext/>
      </w:pPr>
      <w:r>
        <w:rPr>
          <w:sz w:val="28"/>
          <w:rFonts w:ascii="Times New Roman" w:hAnsi="Times New Roman"/>
        </w:rPr>
        <w:t xml:space="preserve">Bilješka 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Pomoći iz inozemstva i od subjekata unutar općeg proračuna (šifre 631+632+633+634+635+636+637+638+639)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78.538,70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w:t>
            </w:r>
          </w:p>
        </w:tc>
      </w:tr>
    </w:tbl>
    <w:p>
      <w:pPr>
        <w:spacing w:before="0" w:after="0"/>
      </w:pPr>
    </w:p>
    <w:p>
      <w:r>
        <w:t xml:space="preserve">Na šifri 63 nije bilo ostvarenih prihoda, dok je u prošlogodišnjem promatranom razdoblju ostvareno na tekućim (šifra 6391) – 25.550,00 eura i kapitalnim prijenosima između proračunskih korisnika istog proračuna (šifra 6392) – 52.988,70 eura  koje su doznačene iz Zajedničkih sredstava parkova Hrvatske temeljem ZIZS 6/2024, a sukladno Odluci o dodjeli sredstava za podmirivanje rashoda za financiranje prioritetnih aktivnosti javnih ustanova nacionalnih parkova i parkova prirode od 22.12.2023. godine (zaostatak iz 2024 godine) i ZIZS 1 sukladno Odluci o dodjeli sredstava za podmirivanje rashoda za financiranje prioritetnih aktivnosti javnih ustanova nacionalnih parkova i parkova prirode od 19.11.2024. godine iz Zajedničkih sredstava parkova Hrvatske. Sredstva su iskorištena za podmirivanje troškova godišnjeg održavanja aplikativnog rješenja Virga za 2025 godinu. </w:t>
      </w:r>
    </w:p>
    <w:p/>
    <w:p>
      <w:pPr>
        <w:jc w:val="center"/>
        <w:pStyle w:val="Normal"/>
        <w:spacing w:line="240" w:lineRule="auto"/>
        <w:keepNext/>
      </w:pPr>
      <w:r>
        <w:rPr>
          <w:sz w:val="28"/>
          <w:rFonts w:ascii="Times New Roman" w:hAnsi="Times New Roman"/>
        </w:rPr>
        <w:t xml:space="preserve">Bilješka 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imovine (šifre 641+642+643)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Na šifri 64 nije bilo ostvarenih prihoda.</w:t>
      </w:r>
    </w:p>
    <w:p/>
    <w:p>
      <w:pPr>
        <w:jc w:val="center"/>
        <w:pStyle w:val="Normal"/>
        <w:spacing w:line="240" w:lineRule="auto"/>
        <w:keepNext/>
      </w:pPr>
      <w:r>
        <w:rPr>
          <w:sz w:val="28"/>
          <w:rFonts w:ascii="Times New Roman" w:hAnsi="Times New Roman"/>
        </w:rPr>
        <w:t xml:space="preserve">Bilješka 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upravnih i administrativnih pristojbi, pristojbi po posebnim propisima i naknada (šifre 651+652+653+654)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2.729,20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4.087,84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149,8</w:t>
            </w:r>
          </w:p>
        </w:tc>
      </w:tr>
    </w:tbl>
    <w:p>
      <w:pPr>
        <w:spacing w:before="0" w:after="0"/>
      </w:pPr>
    </w:p>
    <w:p>
      <w:r>
        <w:t xml:space="preserve">Na šifri 65 je iskazan iznos od 4.087,84 eura, a odnosi se na prihode ostvarene prodajom ulaznica na području JU NP Risnjak, gdje je došlo do povećanja od 49,8 %.</w:t>
      </w:r>
    </w:p>
    <w:p/>
    <w:p>
      <w:pPr>
        <w:jc w:val="center"/>
        <w:pStyle w:val="Normal"/>
        <w:spacing w:line="240" w:lineRule="auto"/>
        <w:keepNext/>
      </w:pPr>
      <w:r>
        <w:rPr>
          <w:sz w:val="28"/>
          <w:rFonts w:ascii="Times New Roman" w:hAnsi="Times New Roman"/>
        </w:rPr>
        <w:t xml:space="preserve">Bilješka 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proizvoda i robe te pruženih usluga, prihodi od donacija te povrati po protestiranim jamstvima (šifre 661+663)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7.087,04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6.409,30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90,4</w:t>
            </w:r>
          </w:p>
        </w:tc>
      </w:tr>
    </w:tbl>
    <w:p>
      <w:pPr>
        <w:spacing w:before="0" w:after="0"/>
      </w:pPr>
    </w:p>
    <w:p>
      <w:r>
        <w:t xml:space="preserve">Na šifri 66 je iznos od 6.409,30 eura, a obuhvaća prihode na kontu 6614 – prihodi od prodaje proizvoda i robe (suveniri i trgovačka roba) u iznosu od 1.227,49 eura, te konta 6615 – prihodi od pruženih usluga 5.119,77 eura gdje spadaju:</w:t>
      </w:r>
    </w:p>
    <w:tbl>
      <w:tblPr>
        <w:tblStyle w:val="TableGrid"/>
        <w:tblW w:w="5000" w:type="pct"/>
      </w:tblPr>
      <w:tblGrid>
        <w:gridCol w:w="3202"/>
        <w:gridCol w:w="3202"/>
        <w:gridCol w:w="3202"/>
      </w:tblGrid>
      <w:tr>
        <w:trPr>
          <w:trHeight w:val="542" w:hRule="atLeast"/>
        </w:trPr>
        <w:tc>
          <w:tcPr>
            <w:tcW w:w="1663" w:type="pct"/>
            <w:vAlign w:val="center"/>
          </w:tcPr>
          <w:p>
            <w:r>
              <w:t xml:space="preserve"> </w:t>
            </w:r>
          </w:p>
        </w:tc>
        <w:tc>
          <w:tcPr>
            <w:tcW w:w="1663" w:type="pct"/>
            <w:vAlign w:val="center"/>
          </w:tcPr>
          <w:p>
            <w:r>
              <w:t xml:space="preserve">3/2025.</w:t>
            </w:r>
          </w:p>
        </w:tc>
        <w:tc>
          <w:tcPr>
            <w:tcW w:w="1663" w:type="pct"/>
            <w:vAlign w:val="center"/>
          </w:tcPr>
          <w:p>
            <w:r>
              <w:t xml:space="preserve">3/2026.</w:t>
            </w:r>
          </w:p>
        </w:tc>
      </w:tr>
      <w:tr>
        <w:trPr>
          <w:trHeight w:val="542" w:hRule="atLeast"/>
        </w:trPr>
        <w:tc>
          <w:tcPr>
            <w:tcW w:w="1663" w:type="pct"/>
            <w:vAlign w:val="center"/>
          </w:tcPr>
          <w:p>
            <w:r>
              <w:t xml:space="preserve">Noćenje</w:t>
            </w:r>
          </w:p>
        </w:tc>
        <w:tc>
          <w:tcPr>
            <w:tcW w:w="1663" w:type="pct"/>
            <w:vAlign w:val="center"/>
          </w:tcPr>
          <w:p>
            <w:r>
              <w:t xml:space="preserve">1.548,68 eura</w:t>
            </w:r>
          </w:p>
        </w:tc>
        <w:tc>
          <w:tcPr>
            <w:tcW w:w="1663" w:type="pct"/>
            <w:vAlign w:val="center"/>
          </w:tcPr>
          <w:p>
            <w:r>
              <w:t xml:space="preserve">0,00 eura</w:t>
            </w:r>
          </w:p>
        </w:tc>
      </w:tr>
      <w:tr>
        <w:trPr>
          <w:trHeight w:val="542" w:hRule="atLeast"/>
        </w:trPr>
        <w:tc>
          <w:tcPr>
            <w:tcW w:w="1663" w:type="pct"/>
            <w:vAlign w:val="center"/>
          </w:tcPr>
          <w:p>
            <w:r>
              <w:t xml:space="preserve">Najam</w:t>
            </w:r>
          </w:p>
        </w:tc>
        <w:tc>
          <w:tcPr>
            <w:tcW w:w="1663" w:type="pct"/>
            <w:vAlign w:val="center"/>
          </w:tcPr>
          <w:p>
            <w:r>
              <w:t xml:space="preserve">4.636,27 eura</w:t>
            </w:r>
          </w:p>
        </w:tc>
        <w:tc>
          <w:tcPr>
            <w:tcW w:w="1663" w:type="pct"/>
            <w:vAlign w:val="center"/>
          </w:tcPr>
          <w:p>
            <w:r>
              <w:t xml:space="preserve">4.715,57 eura</w:t>
            </w:r>
          </w:p>
        </w:tc>
      </w:tr>
      <w:tr>
        <w:trPr>
          <w:trHeight w:val="542" w:hRule="atLeast"/>
        </w:trPr>
        <w:tc>
          <w:tcPr>
            <w:tcW w:w="1663" w:type="pct"/>
            <w:vAlign w:val="center"/>
          </w:tcPr>
          <w:p>
            <w:r>
              <w:t xml:space="preserve">Ostale usluge</w:t>
            </w:r>
          </w:p>
        </w:tc>
        <w:tc>
          <w:tcPr>
            <w:tcW w:w="1663" w:type="pct"/>
            <w:vAlign w:val="center"/>
          </w:tcPr>
          <w:p>
            <w:r>
              <w:t xml:space="preserve">0,00 eura</w:t>
            </w:r>
          </w:p>
        </w:tc>
        <w:tc>
          <w:tcPr>
            <w:tcW w:w="1663" w:type="pct"/>
            <w:vAlign w:val="center"/>
          </w:tcPr>
          <w:p>
            <w:r>
              <w:t xml:space="preserve">310,60 eura</w:t>
            </w:r>
          </w:p>
        </w:tc>
      </w:tr>
      <w:tr>
        <w:trPr>
          <w:trHeight w:val="542" w:hRule="atLeast"/>
        </w:trPr>
        <w:tc>
          <w:tcPr>
            <w:tcW w:w="1663" w:type="pct"/>
            <w:vAlign w:val="center"/>
          </w:tcPr>
          <w:p>
            <w:r>
              <w:t xml:space="preserve">Stručno vođenje</w:t>
            </w:r>
          </w:p>
        </w:tc>
        <w:tc>
          <w:tcPr>
            <w:tcW w:w="1663" w:type="pct"/>
            <w:vAlign w:val="center"/>
          </w:tcPr>
          <w:p>
            <w:r>
              <w:t xml:space="preserve">82,08 eura</w:t>
            </w:r>
          </w:p>
        </w:tc>
        <w:tc>
          <w:tcPr>
            <w:tcW w:w="1663" w:type="pct"/>
            <w:vAlign w:val="center"/>
          </w:tcPr>
          <w:p>
            <w:r>
              <w:t xml:space="preserve">93,60 eura</w:t>
            </w:r>
          </w:p>
        </w:tc>
      </w:tr>
    </w:tbl>
    <w:p>
      <w:r>
        <w:t xml:space="preserve">U ovom tromjesečju nisu ostvareni prihodi od Noćenja dok je u prošlogodišnjem promatranom razdoblju naplaćeno dugovanje iz 2024. godine temeljem kompenzacije, Najam se naplaćuje temeljem ugovora o najmu ugostiteljskog objekta i prefakturiranja troškova za struju i gorivo najmoprimcu ugostiteljskog objekta. Ostale usluge su u ovom izvještajnom razdoblju ostvarene temeljem naplaćenih prihoda za snimanje u komercijalne svrhe sukladno Odluci o koncesijskom odobrenju KLASA: 352-04/26-01/01, URBROJ: 2170-6-2-02-26-02 od 19.02.2026., te usluge prodaje starog željeza i aluminija temeljem vagarskog lista. </w:t>
      </w:r>
    </w:p>
    <w:p/>
    <w:p>
      <w:pPr>
        <w:jc w:val="center"/>
        <w:pStyle w:val="Normal"/>
        <w:spacing w:line="240" w:lineRule="auto"/>
        <w:keepNext/>
      </w:pPr>
      <w:r>
        <w:rPr>
          <w:sz w:val="28"/>
          <w:rFonts w:ascii="Times New Roman" w:hAnsi="Times New Roman"/>
        </w:rPr>
        <w:t xml:space="preserve">Bilješka 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iz nadležnog proračuna i od HZZO-a na temelju ugovornih obveza (šifre 671+673)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126.460,12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143.214,59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113,2</w:t>
            </w:r>
          </w:p>
        </w:tc>
      </w:tr>
    </w:tbl>
    <w:p>
      <w:pPr>
        <w:spacing w:before="0" w:after="0"/>
      </w:pPr>
    </w:p>
    <w:p>
      <w:r>
        <w:t xml:space="preserve">Na šifri 67 je iznos od 143.214,59 eura koji se odnosi na sredstva dobivena iz Državnog proračuna preko Ministarstva zaštite okoliša i zelene tranzicije, namijenjena za financiranje rashoda za zaposlene, rashoda za materijalne rashode, rashode poslovanja za Program zaštite, održavanja, očuvanja, promicanja i korištenja za 16 zaposlenika gdje je ostvareno povećanje od 13,2%.</w:t>
      </w:r>
    </w:p>
    <w:p/>
    <w:p>
      <w:pPr>
        <w:jc w:val="center"/>
        <w:pStyle w:val="Normal"/>
        <w:spacing w:line="240" w:lineRule="auto"/>
        <w:keepNext/>
      </w:pPr>
      <w:r>
        <w:rPr>
          <w:sz w:val="28"/>
          <w:rFonts w:ascii="Times New Roman" w:hAnsi="Times New Roman"/>
        </w:rPr>
        <w:t xml:space="preserve">Bilješka 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Kazne, upravne mjere i ostali prihodi (šifre 681+683)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Na šifri 68 nije bilo ostvarenih prihoda. </w:t>
      </w:r>
    </w:p>
    <w:p/>
    <w:p>
      <w:pPr>
        <w:jc w:val="center"/>
        <w:pStyle w:val="Normal"/>
        <w:spacing w:line="240" w:lineRule="auto"/>
        <w:keepNext/>
      </w:pPr>
      <w:r>
        <w:rPr>
          <w:sz w:val="28"/>
          <w:rFonts w:ascii="Times New Roman" w:hAnsi="Times New Roman"/>
        </w:rPr>
        <w:t xml:space="preserve">Bilješka 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Stručno usavršavanje zaposlenika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1.159,00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358,00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30,9</w:t>
            </w:r>
          </w:p>
        </w:tc>
      </w:tr>
    </w:tbl>
    <w:p>
      <w:pPr>
        <w:spacing w:before="0" w:after="0"/>
      </w:pPr>
    </w:p>
    <w:p>
      <w:r>
        <w:t xml:space="preserve">3213 – seminari, savjetovanja i simpoziji 358,00 eura (smanjenje 69,10%) – jer su u prošlogodišnjem promatranom razdoblju pohađane edukacije zbog promjena koje su stupile na snagu u 2025. godini</w:t>
      </w:r>
    </w:p>
    <w:p/>
    <w:p>
      <w:pPr>
        <w:jc w:val="center"/>
        <w:pStyle w:val="Normal"/>
        <w:spacing w:line="240" w:lineRule="auto"/>
        <w:keepNext/>
      </w:pPr>
      <w:r>
        <w:rPr>
          <w:sz w:val="28"/>
          <w:rFonts w:ascii="Times New Roman" w:hAnsi="Times New Roman"/>
        </w:rPr>
        <w:t xml:space="preserve">Bilješka 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Uredski materijal i ostali materijalni rashodi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1.750,51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285,08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16,3</w:t>
            </w:r>
          </w:p>
        </w:tc>
      </w:tr>
    </w:tbl>
    <w:p>
      <w:pPr>
        <w:spacing w:before="0" w:after="0"/>
      </w:pPr>
    </w:p>
    <w:p>
      <w:r>
        <w:t xml:space="preserve">3221 – uredski materijal i ostali materijalni rashodi 285,08 eura (smanjenje 83,7%) – obuhvaća troškove nabavke uredskog materijala, sredstva za čišćenje i održavanja, te materijala za higijenske potrebe, dok je u prošlogodišnjem promatranom razdoblju još dodatno nabavljen materijala za potrebe provođenja projekta Interreg program Slovenija-Hrvatska 2021-2027 - transPlant </w:t>
      </w:r>
    </w:p>
    <w:p/>
    <w:p>
      <w:pPr>
        <w:jc w:val="center"/>
        <w:pStyle w:val="Normal"/>
        <w:spacing w:line="240" w:lineRule="auto"/>
        <w:keepNext/>
      </w:pPr>
      <w:r>
        <w:rPr>
          <w:sz w:val="28"/>
          <w:rFonts w:ascii="Times New Roman" w:hAnsi="Times New Roman"/>
        </w:rPr>
        <w:t xml:space="preserve">Bilješka 10.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Materijal i sirovine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2.071,62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1.081,23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52,2</w:t>
            </w:r>
          </w:p>
        </w:tc>
      </w:tr>
    </w:tbl>
    <w:p>
      <w:pPr>
        <w:spacing w:before="0" w:after="0"/>
      </w:pPr>
    </w:p>
    <w:p>
      <w:r>
        <w:t xml:space="preserve">3222 – materijal i sirovine 1.081,23 eura (smanjenje 47,80%) - troškovi nabave suvenira i repelenta za svinje, dok je u 2025. godini nabavljen i materijal za potrebe provođenja projekta Interreg program Slovenija-Hrvatska 2021-2027 - transPlant </w:t>
      </w:r>
    </w:p>
    <w:p/>
    <w:p>
      <w:pPr>
        <w:jc w:val="center"/>
        <w:pStyle w:val="Normal"/>
        <w:spacing w:line="240" w:lineRule="auto"/>
        <w:keepNext/>
      </w:pPr>
      <w:r>
        <w:rPr>
          <w:sz w:val="28"/>
          <w:rFonts w:ascii="Times New Roman" w:hAnsi="Times New Roman"/>
        </w:rPr>
        <w:t xml:space="preserve">Bilješka 11.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Materijal i dijelovi za tekuće i investicijsko održavanje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2.127,57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3.257,01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153,1</w:t>
            </w:r>
          </w:p>
        </w:tc>
      </w:tr>
    </w:tbl>
    <w:p>
      <w:pPr>
        <w:spacing w:before="0" w:after="0"/>
      </w:pPr>
    </w:p>
    <w:p>
      <w:r>
        <w:t xml:space="preserve">3224 – materijal i dijelovi za tekuće i investicijsko održavanje 3.257,01 eura (povećanje 53,10%) zbog tekućeg održavanja na Opel Vivaro, Škodi Karoq i Dacii Duster, te popravku teleskopske motorne pile</w:t>
      </w:r>
    </w:p>
    <w:p/>
    <w:p>
      <w:pPr>
        <w:jc w:val="center"/>
        <w:pStyle w:val="Normal"/>
        <w:spacing w:line="240" w:lineRule="auto"/>
        <w:keepNext/>
      </w:pPr>
      <w:r>
        <w:rPr>
          <w:sz w:val="28"/>
          <w:rFonts w:ascii="Times New Roman" w:hAnsi="Times New Roman"/>
        </w:rPr>
        <w:t xml:space="preserve">Bilješka 12.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Sitni inventar i autogume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2.545,59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722,88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28,4</w:t>
            </w:r>
          </w:p>
        </w:tc>
      </w:tr>
    </w:tbl>
    <w:p>
      <w:pPr>
        <w:spacing w:before="0" w:after="0"/>
      </w:pPr>
    </w:p>
    <w:p>
      <w:r>
        <w:t xml:space="preserve">3225 – sitan inventar i auto gume 722,88 eura (smanjenje 71,60 %) – nabavljene police za stručnu službu, skladište (stručna, projekti) i info kućicu u Kuparima, table za oznaku ribolovne zone na Kupina, te regulatori za radijatore, dok je u 2025. godini nabavljena posteljina za Hostel i gume za Škodu Karoq, Dacia Duster i Dacia Duster-natura</w:t>
      </w:r>
    </w:p>
    <w:p/>
    <w:p>
      <w:pPr>
        <w:jc w:val="center"/>
        <w:pStyle w:val="Normal"/>
        <w:spacing w:line="240" w:lineRule="auto"/>
        <w:keepNext/>
      </w:pPr>
      <w:r>
        <w:rPr>
          <w:sz w:val="28"/>
          <w:rFonts w:ascii="Times New Roman" w:hAnsi="Times New Roman"/>
        </w:rPr>
        <w:t xml:space="preserve">Bilješka 13.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Službena, radna i zaštitna odjeća i obuća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362,32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w:t>
            </w:r>
          </w:p>
        </w:tc>
      </w:tr>
    </w:tbl>
    <w:p>
      <w:pPr>
        <w:spacing w:before="0" w:after="0"/>
      </w:pPr>
    </w:p>
    <w:p>
      <w:r>
        <w:t xml:space="preserve">3227 – službena, radna i zaštitna odjeća i obuća – u ovom izvještajnom razdoblju nije bilo troškova dok su u 2025.god nabavljene majice za djelatnike info kućice i pokriven dio troškova nabave odjeće i obuće za transPlant</w:t>
      </w:r>
    </w:p>
    <w:p/>
    <w:p>
      <w:pPr>
        <w:jc w:val="center"/>
        <w:pStyle w:val="Normal"/>
        <w:spacing w:line="240" w:lineRule="auto"/>
        <w:keepNext/>
      </w:pPr>
      <w:r>
        <w:rPr>
          <w:sz w:val="28"/>
          <w:rFonts w:ascii="Times New Roman" w:hAnsi="Times New Roman"/>
        </w:rPr>
        <w:t xml:space="preserve">Bilješka 14.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Usluge tekućeg i investicijskog održavanja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2.653,53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1.623,09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61,2</w:t>
            </w:r>
          </w:p>
        </w:tc>
      </w:tr>
    </w:tbl>
    <w:p>
      <w:pPr>
        <w:spacing w:before="0" w:after="0"/>
      </w:pPr>
    </w:p>
    <w:p>
      <w:r>
        <w:t xml:space="preserve">3232 – usluge tekućeg i investicijskog održavanja 1.623,09 eura (smanjenje 38,8%) – obavljen servis peći na pelete u Upravi i poprevak teleskopske motorne pile, te servis na Opel Vivaro, Mitsubichi Outlander, Dacia Duster i Dacia Duster-Natura, dok je u prošlogodišnjem promatranom razdoblju napravljen servis puhala zraka, servis na računalima edukatora, ravnatelja i marketinga, intervencija, detekcija i popravak na vodovodnim cijevima u Upravi, te servis na Dacia Duster-natura, Mitsubichi Pick Up</w:t>
      </w:r>
    </w:p>
    <w:p/>
    <w:p>
      <w:pPr>
        <w:jc w:val="center"/>
        <w:pStyle w:val="Normal"/>
        <w:spacing w:line="240" w:lineRule="auto"/>
        <w:keepNext/>
      </w:pPr>
      <w:r>
        <w:rPr>
          <w:sz w:val="28"/>
          <w:rFonts w:ascii="Times New Roman" w:hAnsi="Times New Roman"/>
        </w:rPr>
        <w:t xml:space="preserve">Bilješka 15.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Usluge promidžbe i informiranja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719,40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1.335,00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185,6</w:t>
            </w:r>
          </w:p>
        </w:tc>
      </w:tr>
    </w:tbl>
    <w:p>
      <w:pPr>
        <w:spacing w:before="0" w:after="0"/>
      </w:pPr>
    </w:p>
    <w:p>
      <w:r>
        <w:t xml:space="preserve">3233 – usluge promidžbe i informiranja 1.335,00 eura (povećanje 85,6 %) odnose se na troškove nabave tiskanih ulaznica i mjesečnog održavanja web stranice</w:t>
      </w:r>
    </w:p>
    <w:p/>
    <w:p>
      <w:pPr>
        <w:jc w:val="center"/>
        <w:pStyle w:val="Normal"/>
        <w:spacing w:line="240" w:lineRule="auto"/>
        <w:keepNext/>
      </w:pPr>
      <w:r>
        <w:rPr>
          <w:sz w:val="28"/>
          <w:rFonts w:ascii="Times New Roman" w:hAnsi="Times New Roman"/>
        </w:rPr>
        <w:t xml:space="preserve">Bilješka 16.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Komunalne usluge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2.946,68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3.233,17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109,7</w:t>
            </w:r>
          </w:p>
        </w:tc>
      </w:tr>
    </w:tbl>
    <w:p>
      <w:pPr>
        <w:spacing w:before="0" w:after="0"/>
      </w:pPr>
    </w:p>
    <w:p>
      <w:r>
        <w:t xml:space="preserve">3234 – komunalne usluge 3.233,17 eura (povećanje 9,7%) temeljem čl 75.,76. i 77. Zakona o gospodarenju otpadom, te sukladno Odlukama o načinu pružanja javne usluge sakupljanja komunalnog otpada, Grad Delnice i Općina Mrkopalj su donijele odluku o cjeniku javne usluge prikupljanja miješanog komunalnog otpada gdje je cijena obvezne minimalne javne usluge za ne kućanstvo 26,86 eura bez PDV-a plus iznos cijene po količini miješanog komunalnog otpada 0,0176 €/litri bez PDV-a odnosno prema pražnjenju zaduženog volumena spremnika (122,240,770,1100 l)</w:t>
      </w:r>
    </w:p>
    <w:p/>
    <w:p>
      <w:pPr>
        <w:jc w:val="center"/>
        <w:pStyle w:val="Normal"/>
        <w:spacing w:line="240" w:lineRule="auto"/>
        <w:keepNext/>
      </w:pPr>
      <w:r>
        <w:rPr>
          <w:sz w:val="28"/>
          <w:rFonts w:ascii="Times New Roman" w:hAnsi="Times New Roman"/>
        </w:rPr>
        <w:t xml:space="preserve">Bilješka 17.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Zakupnine i najamnine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417,98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529,01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126,6</w:t>
            </w:r>
          </w:p>
        </w:tc>
      </w:tr>
    </w:tbl>
    <w:p>
      <w:pPr>
        <w:spacing w:before="0" w:after="0"/>
      </w:pPr>
    </w:p>
    <w:p>
      <w:r>
        <w:t xml:space="preserve">3235 – zakupnine i najamnine 529,01 eura (povećanje 26,6%) odnosi se na troškove najma poslovnih prostora u Mrkoplju i Crnom Lugu, te mjesečnog najma printera i coolera za vodu</w:t>
      </w:r>
    </w:p>
    <w:p/>
    <w:p>
      <w:pPr>
        <w:jc w:val="center"/>
        <w:pStyle w:val="Normal"/>
        <w:spacing w:line="240" w:lineRule="auto"/>
        <w:keepNext/>
      </w:pPr>
      <w:r>
        <w:rPr>
          <w:sz w:val="28"/>
          <w:rFonts w:ascii="Times New Roman" w:hAnsi="Times New Roman"/>
        </w:rPr>
        <w:t xml:space="preserve">Bilješka 18.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Zdravstvene i veterinarske usluge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810,00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3236 – zdravstvene i veterinarske usluge 810,00 eura - zdravstveni pregledi četiri zaposlenika sukladno kolektivnom ugovoru </w:t>
      </w:r>
    </w:p>
    <w:p/>
    <w:p>
      <w:pPr>
        <w:jc w:val="center"/>
        <w:pStyle w:val="Normal"/>
        <w:spacing w:line="240" w:lineRule="auto"/>
        <w:keepNext/>
      </w:pPr>
      <w:r>
        <w:rPr>
          <w:sz w:val="28"/>
          <w:rFonts w:ascii="Times New Roman" w:hAnsi="Times New Roman"/>
        </w:rPr>
        <w:t xml:space="preserve">Bilješka 19.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Intelektualne i osobne usluge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13.742,12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4.473,11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32,6</w:t>
            </w:r>
          </w:p>
        </w:tc>
      </w:tr>
    </w:tbl>
    <w:p>
      <w:pPr>
        <w:spacing w:before="0" w:after="0"/>
      </w:pPr>
    </w:p>
    <w:p>
      <w:r>
        <w:t xml:space="preserve">3237 – intelektualne i osobne usluge 4.473,11 eura (smanjenje 67,4%) - mjesečni troškovi vanjskog odvjetničkog ureda, napravljen geodetski elaborat za potrebe provođenja promjena u katastru zemljišta (evidentiranje, brisanje ili promjena podataka) planinarskih objekata u Strogom Rezervatu Bijele i Samarske stijene, te postupak javne nabave za uslugu stručnog nadzora, koordinatora zaštite na radu i voditelja projekta gradnje rekonstrukcije planinarskog doma na Risnjaku. U prošlogodišnjem promatranom razdoblju su napravljena istraživanja utjecaja atmosferskih taloženja na šumske ekosustave u JU NP Risnjak po Ugovoru Klasa:641-01/24-01/01 URBROJ:2170-6-2-02-24-01 2.dio, korekcija troškovnika projekta obnove i uređenja poučne staze „Leska“, stručna podrška obrade i analize podataka i pregleda travnjaka s ciljem definiranja provedbe aktivnih mjera održavanja u svrhu poboljšanog upravljanja NP Risnjak i pridruženim zaštićenim područjem i područjima Ekološke mreže" za financiranje iz Programa konkurentnost i kohezija 2021.-2027.</w:t>
      </w:r>
    </w:p>
    <w:p/>
    <w:p>
      <w:pPr>
        <w:jc w:val="center"/>
        <w:pStyle w:val="Normal"/>
        <w:spacing w:line="240" w:lineRule="auto"/>
        <w:keepNext/>
      </w:pPr>
      <w:r>
        <w:rPr>
          <w:sz w:val="28"/>
          <w:rFonts w:ascii="Times New Roman" w:hAnsi="Times New Roman"/>
        </w:rPr>
        <w:t xml:space="preserve">Bilješka 20.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Računalne usluge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19.846,78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4.237,19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21,3</w:t>
            </w:r>
          </w:p>
        </w:tc>
      </w:tr>
    </w:tbl>
    <w:p>
      <w:pPr>
        <w:spacing w:before="0" w:after="0"/>
      </w:pPr>
    </w:p>
    <w:p>
      <w:r>
        <w:t xml:space="preserve">3238 – računalne usluge 4.237,19 eura (smanjenje 78,7%) – odnose se na mjesečne troškove zakupa licenci aplikativnog rješenja „Virga“ i dodatne podrške, dok je u prošlogodišnjem promatranom razdoblju evidentiran godišnji troška zakupa licenci aplikativnog rješenja „Virga“ i dodatna podrška</w:t>
      </w:r>
    </w:p>
    <w:p/>
    <w:p>
      <w:pPr>
        <w:jc w:val="center"/>
        <w:pStyle w:val="Normal"/>
        <w:spacing w:line="240" w:lineRule="auto"/>
        <w:keepNext/>
      </w:pPr>
      <w:r>
        <w:rPr>
          <w:sz w:val="28"/>
          <w:rFonts w:ascii="Times New Roman" w:hAnsi="Times New Roman"/>
        </w:rPr>
        <w:t xml:space="preserve">Bilješka 21.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Ostale usluge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676,14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328,16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48,5</w:t>
            </w:r>
          </w:p>
        </w:tc>
      </w:tr>
    </w:tbl>
    <w:p>
      <w:pPr>
        <w:spacing w:before="0" w:after="0"/>
      </w:pPr>
    </w:p>
    <w:p>
      <w:r>
        <w:t xml:space="preserve">3239 – ostale usluge 328,16 eura (smanjenje 51,5%) – odnose se na troškove usluge registracije prijevoznih sredstava, troškova eCertifikata, godišnje naknade obavljanja poslova zaštite na radu temeljem ugovora, dok je u prošlogodišnjem promatranom razdoblju uz navedene troškove nastao i trošak tapeciranja vrata u uredu ravnatelja</w:t>
      </w:r>
    </w:p>
    <w:p/>
    <w:p>
      <w:pPr>
        <w:jc w:val="center"/>
        <w:pStyle w:val="Normal"/>
        <w:spacing w:line="240" w:lineRule="auto"/>
        <w:keepNext/>
      </w:pPr>
      <w:r>
        <w:rPr>
          <w:sz w:val="28"/>
          <w:rFonts w:ascii="Times New Roman" w:hAnsi="Times New Roman"/>
        </w:rPr>
        <w:t xml:space="preserve">Bilješka 22.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Naknade za rad predstavničkih i izvršnih tijela, povjerenstava i slično</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1.307,78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1.934,40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147,9</w:t>
            </w:r>
          </w:p>
        </w:tc>
      </w:tr>
    </w:tbl>
    <w:p>
      <w:pPr>
        <w:spacing w:before="0" w:after="0"/>
      </w:pPr>
    </w:p>
    <w:p>
      <w:r>
        <w:t xml:space="preserve">3291 – naknade za rad predstavničinih i izvršnih tijela, povjerenstva i sl. 1.934,40 eura (povećanje 47,9%) troškovi za prvi kvartal 2026. godine</w:t>
      </w:r>
    </w:p>
    <w:p/>
    <w:p>
      <w:pPr>
        <w:jc w:val="center"/>
        <w:pStyle w:val="Normal"/>
        <w:spacing w:line="240" w:lineRule="auto"/>
        <w:keepNext/>
      </w:pPr>
      <w:r>
        <w:rPr>
          <w:sz w:val="28"/>
          <w:rFonts w:ascii="Times New Roman" w:hAnsi="Times New Roman"/>
        </w:rPr>
        <w:t xml:space="preserve">Bilješka 23.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Premije osiguranja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4.296,95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20.112,25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468,1</w:t>
            </w:r>
          </w:p>
        </w:tc>
      </w:tr>
    </w:tbl>
    <w:p>
      <w:pPr>
        <w:spacing w:before="0" w:after="0"/>
      </w:pPr>
    </w:p>
    <w:p>
      <w:r>
        <w:t xml:space="preserve">3292 – premije osiguranja 20.112,25 eura (povećanje 468,10%) – premije osiguranja prijevoznih sredstava i godišnji trošak premije osiguranja ostale imovine i zaposlenih, te dodatne police osiguranja od odgovornosti rukovodećih</w:t>
      </w:r>
    </w:p>
    <w:p/>
    <w:p>
      <w:pPr>
        <w:jc w:val="center"/>
        <w:pStyle w:val="Normal"/>
        <w:spacing w:line="240" w:lineRule="auto"/>
        <w:keepNext/>
      </w:pPr>
      <w:r>
        <w:rPr>
          <w:sz w:val="28"/>
          <w:rFonts w:ascii="Times New Roman" w:hAnsi="Times New Roman"/>
        </w:rPr>
        <w:t xml:space="preserve">Bilješka 24.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Reprezentacija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535,90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236,90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44,2</w:t>
            </w:r>
          </w:p>
        </w:tc>
      </w:tr>
    </w:tbl>
    <w:p>
      <w:pPr>
        <w:spacing w:before="0" w:after="0"/>
      </w:pPr>
    </w:p>
    <w:p>
      <w:r>
        <w:t xml:space="preserve">3293 – reprezentacija 236,90 eura (smanjenje 55,80%) manje aktivnosti s poslovnim partnerima, te organizacije i sudjelovanja na događanjima</w:t>
      </w:r>
    </w:p>
    <w:p/>
    <w:p>
      <w:pPr>
        <w:jc w:val="center"/>
        <w:pStyle w:val="Normal"/>
        <w:spacing w:line="240" w:lineRule="auto"/>
        <w:keepNext/>
      </w:pPr>
      <w:r>
        <w:rPr>
          <w:sz w:val="28"/>
          <w:rFonts w:ascii="Times New Roman" w:hAnsi="Times New Roman"/>
        </w:rPr>
        <w:t xml:space="preserve">Bilješka 25.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Pristojbe i naknade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274,71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500,81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182,3</w:t>
            </w:r>
          </w:p>
        </w:tc>
      </w:tr>
    </w:tbl>
    <w:p>
      <w:pPr>
        <w:spacing w:before="0" w:after="0"/>
      </w:pPr>
    </w:p>
    <w:p>
      <w:r>
        <w:t xml:space="preserve">3295 – pristojbe i naknade 500,81 euro (povećanje 82,3%) - RTV pristojbe, troškovi javnobilježničke ovjere odluke i suglasnosti o donošenju Statuta JU NP Risnjak, te postupaka za pokretanje ovrhe nad Ogulin Usluge j.d.o.o.</w:t>
      </w:r>
    </w:p>
    <w:p/>
    <w:p>
      <w:pPr>
        <w:jc w:val="center"/>
        <w:pStyle w:val="Normal"/>
        <w:spacing w:line="240" w:lineRule="auto"/>
        <w:keepNext/>
      </w:pPr>
      <w:r>
        <w:rPr>
          <w:sz w:val="28"/>
          <w:rFonts w:ascii="Times New Roman" w:hAnsi="Times New Roman"/>
        </w:rPr>
        <w:t xml:space="preserve">Bilješka 26.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nespomenuti rashodi poslovanja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7,96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510,3</w:t>
            </w:r>
          </w:p>
        </w:tc>
      </w:tr>
    </w:tbl>
    <w:p>
      <w:pPr>
        <w:spacing w:before="0" w:after="0"/>
      </w:pPr>
    </w:p>
    <w:p>
      <w:r>
        <w:t xml:space="preserve">3299 – ostali nespomenuti rashodi poslovanja 7,96 eura (povećanje 510,3%) – troškovi vlastite potrošnje</w:t>
      </w:r>
    </w:p>
    <w:p/>
    <w:p>
      <w:pPr>
        <w:jc w:val="center"/>
        <w:pStyle w:val="Normal"/>
        <w:spacing w:line="240" w:lineRule="auto"/>
        <w:keepNext/>
      </w:pPr>
      <w:r>
        <w:rPr>
          <w:sz w:val="28"/>
          <w:rFonts w:ascii="Times New Roman" w:hAnsi="Times New Roman"/>
        </w:rPr>
        <w:t xml:space="preserve">Bilješka 27.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3431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Bankarske usluge i usluge platnog prometa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224,39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312,67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139,3</w:t>
            </w:r>
          </w:p>
        </w:tc>
      </w:tr>
    </w:tbl>
    <w:p>
      <w:pPr>
        <w:spacing w:before="0" w:after="0"/>
      </w:pPr>
    </w:p>
    <w:p>
      <w:r>
        <w:t xml:space="preserve">3431 – bankarske usluge i usluge platnog prometa 312,67 eura koje su povećane za 39,3% zbog podizanja vrećica za dnevno noćni trezor, te porasta mjesečnih troškova održavanja računa i korištenja NetBanking i nBanking usluge sukladno odluci o Naknadama za usluge platnog prometa u poslovanju s poslovnim subjektima</w:t>
      </w:r>
    </w:p>
    <w:p/>
    <w:p>
      <w:pPr>
        <w:jc w:val="center"/>
        <w:pStyle w:val="Normal"/>
        <w:spacing w:line="240" w:lineRule="auto"/>
        <w:keepNext/>
      </w:pPr>
      <w:r>
        <w:rPr>
          <w:sz w:val="28"/>
          <w:rFonts w:ascii="Times New Roman" w:hAnsi="Times New Roman"/>
        </w:rPr>
        <w:t xml:space="preserve">Bilješka 28.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3433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Zatezne kamate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3433 – zatezne kamate 0,31 euro zbog nepodmirenja troška u predviđenom vremenskom roku</w:t>
      </w:r>
    </w:p>
    <w:p/>
    <w:p>
      <w:pPr>
        <w:jc w:val="center"/>
        <w:pStyle w:val="Normal"/>
        <w:spacing w:line="240" w:lineRule="auto"/>
        <w:keepNext/>
      </w:pPr>
      <w:r>
        <w:rPr>
          <w:sz w:val="28"/>
          <w:rFonts w:ascii="Times New Roman" w:hAnsi="Times New Roman"/>
        </w:rPr>
        <w:t xml:space="preserve">Bilješka 29.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3434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nespomenuti financijski rashodi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3434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392,25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3434 – ostali nespomenuti financijski rashodi 392,25 eura temeljem poreznog rješenja KLASA:UP/I-410-24/2026-02/01693, URBROJ:513-07-01-010-2026-01 kojim se utvrđuje za 2025. godinu porez na nekretninu Zagreb, Zagrebačka cesta 185</w:t>
      </w:r>
    </w:p>
    <w:p/>
    <w:p>
      <w:pPr>
        <w:jc w:val="center"/>
        <w:pStyle w:val="Normal"/>
        <w:spacing w:line="240" w:lineRule="auto"/>
        <w:keepNext/>
      </w:pPr>
      <w:r>
        <w:rPr>
          <w:sz w:val="28"/>
          <w:rFonts w:ascii="Times New Roman" w:hAnsi="Times New Roman"/>
        </w:rPr>
        <w:t xml:space="preserve">Bilješka 30.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Pomoći dane u inozemstvo i unutar općeg proračuna (šifre 361+362+363+365+366+367+368+369)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169,91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33,27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19,6</w:t>
            </w:r>
          </w:p>
        </w:tc>
      </w:tr>
    </w:tbl>
    <w:p>
      <w:pPr>
        <w:spacing w:before="0" w:after="0"/>
      </w:pPr>
    </w:p>
    <w:p>
      <w:r>
        <w:t xml:space="preserve">Na šifri 36 je iznos 33,27 eura, odnosno smanjenje od 80,4%, a odnosi se na uplatu 3% u Državni proračun sukladno Pravilniku o mjerilima i načinu korištenja nenamjenskih donacija i vlastitih prihoda u Zajednički fond PP i NP za razdoblje od 01.12.-31.12.2025. godine temeljem ostvarenih prihoda od prodaje ulaznica za spomenuto razdoblje.</w:t>
      </w:r>
    </w:p>
    <w:p/>
    <w:p>
      <w:pPr>
        <w:jc w:val="center"/>
        <w:pStyle w:val="Normal"/>
        <w:spacing w:line="240" w:lineRule="auto"/>
        <w:keepNext/>
      </w:pPr>
      <w:r>
        <w:rPr>
          <w:sz w:val="28"/>
          <w:rFonts w:ascii="Times New Roman" w:hAnsi="Times New Roman"/>
        </w:rPr>
        <w:t xml:space="preserve">Bilješka 31.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neproizvedene dugotrajne imovine (šifre 411+412)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Na šifri 41 nije bilo ostvarenih rashoda.</w:t>
      </w:r>
    </w:p>
    <w:p/>
    <w:p>
      <w:pPr>
        <w:jc w:val="center"/>
        <w:pStyle w:val="Normal"/>
        <w:spacing w:line="240" w:lineRule="auto"/>
        <w:keepNext/>
      </w:pPr>
      <w:r>
        <w:rPr>
          <w:sz w:val="28"/>
          <w:rFonts w:ascii="Times New Roman" w:hAnsi="Times New Roman"/>
        </w:rPr>
        <w:t xml:space="preserve">Bilješka 32.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4214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građevinski objekti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8.875,59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4214 – ostali građevinski objekti 8.875,59 eura za troškove stručnog nadzora nad izgradnjom pješačkog mosta u nacionalnom parku Risnjak, te troškove adaptiranja radione</w:t>
      </w:r>
    </w:p>
    <w:p/>
    <w:p>
      <w:pPr>
        <w:jc w:val="center"/>
        <w:pStyle w:val="Normal"/>
        <w:spacing w:line="240" w:lineRule="auto"/>
        <w:keepNext/>
      </w:pPr>
      <w:r>
        <w:rPr>
          <w:sz w:val="28"/>
          <w:rFonts w:ascii="Times New Roman" w:hAnsi="Times New Roman"/>
        </w:rPr>
        <w:t xml:space="preserve">Bilješka 33.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4221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Uredska oprema i namještaj</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4221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239,92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7.119,87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2967,6</w:t>
            </w:r>
          </w:p>
        </w:tc>
      </w:tr>
    </w:tbl>
    <w:p>
      <w:pPr>
        <w:spacing w:before="0" w:after="0"/>
      </w:pPr>
    </w:p>
    <w:p>
      <w:r>
        <w:t xml:space="preserve">4221 – uredska oprema i namještaj 7.119,87 eura nabavljena je uredska informatička oprema za potrebe projekta "Poboljšano upravljanje Nacionalnim parkom Risnjak'" referentne oznake PK.3.7.05.0006, hardver za aplikaciju za putovanje kroz vrijeme u zgradi uprave u sklopu projekta Interreg program Slovenija-Hrvatska 2021-2027 – transPlant, te printer i čitač za potrebe rada info kućice u Kuparima,</w:t>
      </w:r>
    </w:p>
    <w:p/>
    <w:p>
      <w:pPr>
        <w:jc w:val="center"/>
        <w:pStyle w:val="Normal"/>
        <w:spacing w:line="240" w:lineRule="auto"/>
        <w:keepNext/>
      </w:pPr>
      <w:r>
        <w:rPr>
          <w:sz w:val="28"/>
          <w:rFonts w:ascii="Times New Roman" w:hAnsi="Times New Roman"/>
        </w:rPr>
        <w:t xml:space="preserve">Bilješka 34.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Uređaji, strojevi i oprema za ostale namjene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4227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1.640,00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w:t>
            </w:r>
          </w:p>
        </w:tc>
      </w:tr>
    </w:tbl>
    <w:p>
      <w:pPr>
        <w:spacing w:before="0" w:after="0"/>
      </w:pPr>
    </w:p>
    <w:p>
      <w:r>
        <w:t xml:space="preserve">4227 – uređaji, strojevi i oprema u ovom izvještajnom razdoblju nije bilo evidentiranih rashoda dok su u 2025.godini nabavljeni datalogeri za potrebe provođenja projekta Interreg program Slovenija-Hrvatska 2021-2027 – transPlant</w:t>
      </w:r>
    </w:p>
    <w:p/>
    <w:p>
      <w:pPr>
        <w:jc w:val="center"/>
        <w:pStyle w:val="Normal"/>
        <w:spacing w:line="240" w:lineRule="auto"/>
        <w:keepNext/>
      </w:pPr>
      <w:r>
        <w:rPr>
          <w:sz w:val="28"/>
          <w:rFonts w:ascii="Times New Roman" w:hAnsi="Times New Roman"/>
        </w:rPr>
        <w:t xml:space="preserve">Bilješka 35.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4264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Ostala nematerijalna proizvedena imovina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4.800,00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480,0</w:t>
            </w:r>
          </w:p>
        </w:tc>
      </w:tr>
    </w:tbl>
    <w:p>
      <w:pPr>
        <w:spacing w:before="0" w:after="0"/>
      </w:pPr>
    </w:p>
    <w:p>
      <w:r>
        <w:t xml:space="preserve">4264 – ostala nematerijalna imovina 4.800,00 eura za izradu 3D modela krškog oblika i integracija u aplikaciju za putovanje kroz vrijeme u sklopu provođenja projekta Interreg program Slovenija-Hrvatska 2021-2027 – transPlant</w:t>
      </w:r>
    </w:p>
    <w:p/>
    <w:p>
      <w:pPr>
        <w:jc w:val="center"/>
        <w:pStyle w:val="Normal"/>
        <w:spacing w:line="240" w:lineRule="auto"/>
        <w:keepNext/>
      </w:pPr>
      <w:r>
        <w:rPr>
          <w:b/>
          <w:sz w:val="28"/>
          <w:rFonts w:ascii="Times New Roman" w:hAnsi="Times New Roman"/>
        </w:rPr>
        <w:t xml:space="preserve">Izvještaj o obvezama</w:t>
      </w:r>
    </w:p>
    <w:p>
      <w:pPr>
        <w:jc w:val="center"/>
        <w:pStyle w:val="Normal"/>
        <w:spacing w:line="240" w:lineRule="auto"/>
        <w:keepNext/>
      </w:pPr>
      <w:r>
        <w:rPr>
          <w:sz w:val="28"/>
          <w:rFonts w:ascii="Times New Roman" w:hAnsi="Times New Roman"/>
        </w:rPr>
        <w:t xml:space="preserve">Bilješka 36.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dospjelih obveza na kraju izvještajnog razdoblja (šifre V008+D23+D24 + 'D dio 25,26' + D27)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96,08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96,08 eura dospjelih obveza, odnosi na račun Hrvatski telekom d.d. (98081-BIL1-002 - UR 36) zbog nepodmirenja troška u predviđenom vremenskom roku.</w:t>
      </w:r>
    </w:p>
    <w:p>
      <w:r>
        <w:t xml:space="preserve">Cijeli iznos dospjelih obveza podmiren je nakon utvrđenog prekoračenja roka.</w:t>
      </w:r>
    </w:p>
    <w:p>
      <w:r>
        <w:t xml:space="preserve"> </w:t>
      </w:r>
    </w:p>
    <w:p/>
    <w:p>
      <w:pPr>
        <w:jc w:val="center"/>
        <w:pStyle w:val="Normal"/>
        <w:spacing w:line="240" w:lineRule="auto"/>
        <w:keepNext/>
      </w:pPr>
      <w:r>
        <w:rPr>
          <w:sz w:val="28"/>
          <w:rFonts w:ascii="Times New Roman" w:hAnsi="Times New Roman"/>
        </w:rPr>
        <w:t xml:space="preserve">Bilješka 37.</w:t>
      </w:r>
    </w:p>
    <w:p>
      <w:pPr>
        <w:jc w:val="both"/>
        <w:pStyle w:val="Normal"/>
        <w:spacing w:line="240" w:lineRule="auto"/>
      </w:pPr>
      <w:r>
        <w:rPr>
          <w:b/>
          <w:sz w:val="24"/>
          <w:rFonts w:ascii="Times New Roman" w:hAnsi="Times New Roman"/>
        </w:rPr>
        <w:t xml:space="preserve">EU izvještaj</w:t>
      </w:r>
    </w:p>
    <w:p>
      <w:r>
        <w:t xml:space="preserve">Podaci u EU izvještaju odnose se na rashode vezane za provođenje projekta sa Prirodoslovnim muzejem Rijeka temeljem Sporazuma o partnerstvu za standardni projekt u okviru prioriteta 1 i 3 (specifični cilj 6.2) Interreg Program Slovenija-Hrvatska 2021.-2027. - transPlant, a odnose se na 4. izvještajno razdoblje, te troškovi vezani za provođenje projekta "Poboljšano upravljanje Nacionalnim parkom Risnjak'" referentne oznake PK.3.7.05.0006 sukladno jedinstvenim oznakama izvora financiranja koje se koriste od 1.1.2026. godine u računovodstvenim evidencijama. </w:t>
      </w:r>
    </w:p>
    <w:p>
      <w:r>
        <w:t xml:space="preserve">Za projekt "Poboljšano upravljanje Nacionalnim parkom Risnjak'" referentne oznake PK.3.7.05.0006 iskazani su rashodi za plaću i doprinosi za obvezno zdravstveno osiguranje suradnika na projektu, te troškovi nabave uredske informatičke oprema za potrebe projekta u sklopu ZNS 1 (85%)</w:t>
      </w:r>
    </w:p>
    <w:p>
      <w:r>
        <w:t xml:space="preserve">Za projekt Interreg program Slovenija-Hrvatska 2021-2027 – transPlant iskazani su troškovi za nabavu hardvera za aplikaciju za putovanje kroz vrijeme u zgradi uprave, te troškovi za izradu 3D modela krškog oblika i integracija u aplikaciju za putovanje kroz vrijeme (80%)</w:t>
      </w:r>
    </w:p>
    <w:p/>
  </w:body>
</w:document>
</file>

<file path=word/styles.xml><?xml version="1.0" encoding="utf-8"?>
<w:styles xmlns:w="http://schemas.openxmlformats.org/wordprocessingml/2006/main">
  <w:docDefaults>
    <w:rPrDefault>
      <w:rPr>
        <w:rFonts w:ascii="Times New Roman" w:hAnsi="Times New Roman"/>
        <w:sz w:val="24"/>
      </w:rPr>
    </w:rPrDefault>
  </w:docDefaults>
  <w:style w:type="paragraph" w:styleId="Normal" w:default="true">
    <w:name w:val="Normal"/>
    <w:rPr>
      <w:rFonts w:ascii="Times New Roman" w:hAnsi="Times New Roman"/>
      <w:sz w:val="24"/>
    </w:rPr>
  </w:style>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244e9bab95e7484f" /></Relationships>
</file>