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f1b1059343234f5d"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22187</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JAVNA USTANOVA NACIONALNI PARK RISNJAK</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11</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XII 2025.</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864.700,45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1.409.877,31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163,0</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801.805,91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944.450,71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117,8</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62.894,54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465.426,60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740,0</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328,00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201.936,86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486.750,15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241,0</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201.608,86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486.710,15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241,4</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VIŠAK/MANJAK PRIMITAKA OD FINANCIJSKE IMOVINE I ZADUŽIVANJA (šifre 8-5, 5-8)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X003, Y003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I PRIMITAKA (šifre Y345-X678)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138.714,32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21.283,55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15,3</w:t>
            </w:r>
          </w:p>
        </w:tc>
      </w:tr>
    </w:tbl>
    <w:p>
      <w:pPr>
        <w:spacing w:before="0" w:after="0"/>
      </w:pPr>
    </w:p>
    <w:p>
      <w:r>
        <w:t xml:space="preserve">Javna ustanova Nacionalni park Risnjak je u izvještajnom razdoblju od 1. siječnja do 31. prosinca 2025. godine ostvarila ukupni višak poslovanja (X001) u iznosu od 465.426,60 eura, te ukupni manjak prihoda od nefinancijske imovine (Y002) u iznosu od 486.710,15 eura, čime dolazimo do manjka prihoda nad rashodima u iznosu od 21.283,55 eura.</w:t>
      </w:r>
    </w:p>
    <w:p>
      <w:r>
        <w:t xml:space="preserve">Međutim kad dodamo višak prihoda iz prethodne godine (9222-9221) u iznosu od 172.202,83 eura dobijemo ukupni višak prihoda (X006) u iznosu od 150.919,28 eura.</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iz inozemstva i od subjekata unutar općeg proračuna (šifre 631+632+633+634+635+636+637+638+639)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146.533,40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597.369,61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407,7</w:t>
            </w:r>
          </w:p>
        </w:tc>
      </w:tr>
    </w:tbl>
    <w:p>
      <w:pPr>
        <w:spacing w:before="0" w:after="0"/>
      </w:pPr>
    </w:p>
    <w:p>
      <w:r>
        <w:t xml:space="preserve">Na šifri 63 je iznos od 597.369,61 eura, a odnosi se na 28.000,00 eura, tekuće pomoći od izvanproračunskih korisnika (šifra 6341) od Fonda za zaštitu okoliša i energetsku učinkovitost (u nastavku FZOEU) temeljem Ugovora br.2023/015245 o neposrednom sudjelovanju Fonda u financiranju izrade projektne dokumentacije za prijavu projekata za financiranje iz Programa „Konkurentnost i kohezija 2021.-2027. Specifični cilj 2.vii“ za troškove obrade i analize podataka i pregleda travnjaka s ciljem definiranja provedbe aktivnih mjera održavanja, te izrade projektne dokumentacije za prijavu projekta, 195.280,00 eura, kapitalne pomoći od izvanproračunskih korisnika (šifra 6342) od FZOEU temeljem Ugovora br. 2023/000716 o neposrednom sudjelovanju Fonda u sufinanciranju projekta „Izgradnja pješačkog mosta u Nacionalnom parku Risnjak“ – radovi na izgradnji „pješačkog mosta izvor Kupe“ (uklanjanje i zbrinjavanje ostataka srušenog mosta, izgradnja novog pješačkog mosta, uređenje pristupnih staza prema mostu</w:t>
      </w:r>
    </w:p>
    <w:p>
      <w:r>
        <w:t xml:space="preserve">22.000,00 eura, kapitalne pomoći proračunskim korisnicima iz proračuna koji im nije nadležan (šifra 6362) temeljem Ugovora za kupovinu ATV vozila s pratećom opremom, KLASA: 402-02/25-01/19, URBROJ: 2170-2-03/3-25-3, 24.229,32 eura, tekuće pomoći temeljem prijenosa EU sredstava (šifra 6381) i 4.428,64 eura, kapitalne pomoći temeljem prijenosa EU sredstava (šifra 6382) od Prirodoslovnog muzeja Rijeka temeljem Sporazuma o partnerstvu za standardni projekt u okviru prioriteta 1 i 3 (specifični cilj 6.2) Interreg Program Slovenija-Hrvatska 2021.-2027. – 1. i 2. izvještajno razdoblje.</w:t>
      </w:r>
    </w:p>
    <w:p>
      <w:r>
        <w:t xml:space="preserve">48.605,45 eura, tekući prijenosi između proračunskih korisnika istog proračuna (šifra 6391) i 274.826,20 eura kapitalni prijenosi između proračunskih korisnika istog proračuna (šifra 6392) koji su doznačene iz Zajedničkih sredstava parkova Hrvatske temeljem ZIZS 6/2024, a sukladno Odluci o dodjeli sredstava za podmirivanje rashoda za financiranje prioritetnih aktivnosti javnih ustanova nacionalnih parkova i parkova prirode od 22.12.2023. godine (zaostatak iz 2024 godine), te ZIZS 1 - ZIZS 8 sukladno Odluci o dodjeli sredstava za podmirivanje rashoda za financiranje prioritetnih aktivnosti javnih ustanova nacionalnih parkova i parkova prirode od 19.11.2024. godine iz Zajedničkih sredstava parkova Hrvatske. Sredstva su iskorištena za podmirivanje troškova godišnjeg održavanja aplikativnog rješenja Virga za 2025 godinu, osiguranja imovine za 2025 godinu, rekonstrukcije krova na Aginoj kući, obnove poučne staze Leska, obnove objekta u Kuparima, i sufinanciranja ugovorenog projekta s FZOEU „Izgradnja pješačkog mosta na Kupi“.</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6341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Tekuće pomoći od izvanproračunskih korisnika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11.207,84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28.000,00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249,8</w:t>
            </w:r>
          </w:p>
        </w:tc>
      </w:tr>
    </w:tbl>
    <w:p>
      <w:pPr>
        <w:spacing w:before="0" w:after="0"/>
      </w:pPr>
    </w:p>
    <w:p>
      <w:r>
        <w:t xml:space="preserve">odnosi se na 28.000,00 eura, tekuće pomoći od izvanproračunskih korisnika (šifra 6341) od Fonda za zaštitu okoliša i energetsku učinkovitost (u nastavku FZOEU) temeljem Ugovora br.2023/015245 o neposrednom sudjelovanju Fonda u financiranju izrade projektne dokumentacije za prijavu projekata za financiranje iz Programa „Konkurentnost i kohezija 2021.-2027. Specifični cilj 2.vii“ za troškove obrade i analize podataka i pregleda travnjaka s ciljem definiranja provedbe aktivnih mjera održavanja, te izrade projektne dokumentacije za prijavu projekta</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6342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Kapitalne pomoći od izvanproračunskih korisnika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6342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195.280,00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195.280,00 eura, kapitalne pomoći od izvanproračunskih korisnika (šifra 6342) od FZOEU temeljem Ugovora br. 2023/000716 o neposrednom sudjelovanju Fonda u sufinanciranju projekta „Izgradnja pješačkog mosta u Nacionalnom parku Risnjak“ – radovi na izgradnji „pješačkog mosta izvor Kupe“ (uklanjanje i zbrinjavanje ostataka srušenog mosta, izgradnja novog pješačkog mosta, uređenje pristupnih staza prema mostu</w:t>
      </w:r>
    </w:p>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6362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Kapitalne pomoći proračunskim korisnicima iz proračuna koji im nije nadležan</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22.000,00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22.000,00 eura, kapitalne pomoći proračunskim korisnicima iz proračuna koji im nije nadležan (šifra 6362) temeljem Ugovora za kupovinu ATV vozila s pratećom opremom, KLASA: 402-02/25-01/19, URBROJ: 2170-2-03/3-25-3</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6381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Tekuće pomoći temeljem prijenosa EU sredstava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24.229,32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24.229,32 eura, tekuće pomoći temeljem prijenosa EU sredstava (šifra 6381) od Prirodoslovnog muzeja Rijeka temeljem Sporazuma o partnerstvu za standardni projekt u okviru prioriteta 1 i 3 (specifični cilj 6.2) Interreg Program Slovenija-Hrvatska 2021.-2027. – 1. i 2. izvještajno razdoblje.</w:t>
      </w:r>
    </w:p>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6382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Kapitalne pomoći temeljem prijenosa EU sredstava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6382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4.428,64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4.428,64 eura, kapitalne pomoći temeljem prijenosa EU sredstava (šifra 6382) od Prirodoslovnog muzeja Rijeka temeljem Sporazuma o partnerstvu za standardni projekt u okviru prioriteta 1 i 3 (specifični cilj 6.2) Interreg Program Slovenija-Hrvatska 2021.-2027. – 1. i 2. izvještajno razdoblje</w:t>
      </w:r>
    </w:p>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6391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Tekući prijenosi između proračunskih korisnika istog proračuna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18.300,26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48.605,45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265,6</w:t>
            </w:r>
          </w:p>
        </w:tc>
      </w:tr>
    </w:tbl>
    <w:p>
      <w:pPr>
        <w:spacing w:before="0" w:after="0"/>
      </w:pPr>
    </w:p>
    <w:p>
      <w:r>
        <w:t xml:space="preserve">48.605,45 eura, tekući prijenosi između proračunskih korisnika istog proračuna (šifra 6391) doznačene iz Zajedničkih sredstava parkova Hrvatske temeljem ZIZS 6/2024, a sukladno Odluci o dodjeli sredstava za podmirivanje rashoda za financiranje prioritetnih aktivnosti javnih ustanova nacionalnih parkova i parkova prirode od 22.12.2023. godine (zaostatak iz 2024 godine), te ZIZS 1 - ZIZS 8 sukladno Odluci o dodjeli sredstava za podmirivanje rashoda za financiranje prioritetnih aktivnosti javnih ustanova nacionalnih parkova i parkova prirode od 19.11.2024. godine iz Zajedničkih sredstava parkova Hrvatske. Sredstva su iskorištena za podmirivanje troškova godišnjeg održavanja aplikativnog rješenja Virga za 2025 godinu, osiguranja imovine za 2025 godinu</w:t>
      </w:r>
    </w:p>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6392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Kapitalni prijenosi između proračunskih korisnika istog proračuna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117.025,30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274.826,20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234,8</w:t>
            </w:r>
          </w:p>
        </w:tc>
      </w:tr>
    </w:tbl>
    <w:p>
      <w:pPr>
        <w:spacing w:before="0" w:after="0"/>
      </w:pPr>
    </w:p>
    <w:p>
      <w:r>
        <w:t xml:space="preserve">274.826,20 eura kapitalni prijenosi između proračunskih korisnika istog proračuna (šifra 6392) koji su doznačene iz Zajedničkih sredstava parkova Hrvatske temeljem ZIZS 6/2024, a sukladno Odluci o dodjeli sredstava za podmirivanje rashoda za financiranje prioritetnih aktivnosti javnih ustanova nacionalnih parkova i parkova prirode od 22.12.2023. godine (zaostatak iz 2024 godine), te ZIZS 1 - ZIZS 8 sukladno Odluci o dodjeli sredstava za podmirivanje rashoda za financiranje prioritetnih aktivnosti javnih ustanova nacionalnih parkova i parkova prirode od 19.11.2024. godine iz Zajedničkih sredstava parkova Hrvatske. Sredstva su iskorištena za podmirivanje troškova rekonstrukcije krova na Aginoj kući, obnove poučne staze Leska, obnove objekta u Kuparima, i sufinanciranja ugovorenog projekta s FZOEU „Izgradnja pješačkog mosta na Kupi“.</w:t>
      </w:r>
    </w:p>
    <w:p/>
    <w:p>
      <w:pPr>
        <w:jc w:val="center"/>
        <w:pStyle w:val="Normal"/>
        <w:spacing w:line="240" w:lineRule="auto"/>
        <w:keepNext/>
      </w:pPr>
      <w:r>
        <w:rPr>
          <w:sz w:val="28"/>
          <w:rFonts w:ascii="Times New Roman" w:hAnsi="Times New Roman"/>
        </w:rPr>
        <w:t xml:space="preserve">Bilješka 10.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upravnih i administrativnih pristojbi, pristojbi po posebnim propisima i naknada (šifre 651+652+653+654)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112.141,81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121.385,08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108,2</w:t>
            </w:r>
          </w:p>
        </w:tc>
      </w:tr>
    </w:tbl>
    <w:p>
      <w:pPr>
        <w:spacing w:before="0" w:after="0"/>
      </w:pPr>
    </w:p>
    <w:p>
      <w:r>
        <w:t xml:space="preserve">Po završnom računu za 2024. godinu je utvrđena razlika između iskazanih prihoda u PR-RAS-u i EV nalogu za 12/2024 u iznosu od 6,24 eura te su prihodi za navedenu razliku uvećani u EV nalogu za 01/2025.</w:t>
      </w:r>
    </w:p>
    <w:p/>
    <w:p>
      <w:pPr>
        <w:jc w:val="center"/>
        <w:pStyle w:val="Normal"/>
        <w:spacing w:line="240" w:lineRule="auto"/>
        <w:keepNext/>
      </w:pPr>
      <w:r>
        <w:rPr>
          <w:sz w:val="28"/>
          <w:rFonts w:ascii="Times New Roman" w:hAnsi="Times New Roman"/>
        </w:rPr>
        <w:t xml:space="preserve">Bilješka 11.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6526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nespomenuti prihodi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6526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112.141,81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121.385,08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108,2</w:t>
            </w:r>
          </w:p>
        </w:tc>
      </w:tr>
    </w:tbl>
    <w:p>
      <w:pPr>
        <w:spacing w:before="0" w:after="0"/>
      </w:pPr>
    </w:p>
    <w:p>
      <w:r>
        <w:t xml:space="preserve">Na šifri 65 je iskazan iznos od 121.385,08 eura, a odnosi se na prihode ostvarene prodajom ulaznica na području JU NP Risnjak u iznosu od 109.008,08 eura, te prihoda s naslova osiguranja, refundacije štete u iznosu od 12.376,00 eura temeljem CPO-220002828 (veza polica br. 08-0501630-01 – oštećenje Mosta – 07.10.2022.godine) Obavijest o isplati – dodatna likvidacija.</w:t>
      </w:r>
    </w:p>
    <w:p/>
    <w:p>
      <w:pPr>
        <w:jc w:val="center"/>
        <w:pStyle w:val="Normal"/>
        <w:spacing w:line="240" w:lineRule="auto"/>
        <w:keepNext/>
      </w:pPr>
      <w:r>
        <w:rPr>
          <w:sz w:val="28"/>
          <w:rFonts w:ascii="Times New Roman" w:hAnsi="Times New Roman"/>
        </w:rPr>
        <w:t xml:space="preserve">Bilješka 12.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proizvoda i robe te pruženih usluga, prihodi od donacija te povrati po protestiranim jamstvima (šifre 661+663)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94.328,82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106.627,37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113,0</w:t>
            </w:r>
          </w:p>
        </w:tc>
      </w:tr>
    </w:tbl>
    <w:p>
      <w:pPr>
        <w:spacing w:before="0" w:after="0"/>
      </w:pPr>
    </w:p>
    <w:p>
      <w:r>
        <w:t xml:space="preserve">Po završnom računu za 2024. godinu je utvrđena razlika između iskazanih prihoda u PR-RAS-u i EV nalogu za 12/2024 na kontu 6615 više za 1,44 eura te su prihodi za navedenu razliku umanjeni u EV nalogu za 01/2025. Također, provedena je kompenzacija sa Brkić GTT d.o.o. u iznosu od 1.548,68 eura i TESORO IMK j.d.o.o. u iznosu od 625,01 eura čime je nastala ukupna razlika od 2.175,13 eura između PR-RAS-a i EV naloga.</w:t>
      </w:r>
    </w:p>
    <w:p/>
    <w:p>
      <w:pPr>
        <w:jc w:val="center"/>
        <w:pStyle w:val="Normal"/>
        <w:spacing w:line="240" w:lineRule="auto"/>
        <w:keepNext/>
      </w:pPr>
      <w:r>
        <w:rPr>
          <w:sz w:val="28"/>
          <w:rFonts w:ascii="Times New Roman" w:hAnsi="Times New Roman"/>
        </w:rPr>
        <w:t xml:space="preserve">Bilješka 13.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6614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proizvoda i robe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19.393,11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21.744,41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112,1</w:t>
            </w:r>
          </w:p>
        </w:tc>
      </w:tr>
    </w:tbl>
    <w:p>
      <w:pPr>
        <w:spacing w:before="0" w:after="0"/>
      </w:pPr>
    </w:p>
    <w:p>
      <w:r>
        <w:t xml:space="preserve">Ostvareni veći promet na 6614 – prihodi od prodaje proizvoda i robe (suveniri i trgovačka roba) u iznosu od 21.744,41 eura</w:t>
      </w:r>
    </w:p>
    <w:p/>
    <w:p>
      <w:pPr>
        <w:jc w:val="center"/>
        <w:pStyle w:val="Normal"/>
        <w:spacing w:line="240" w:lineRule="auto"/>
        <w:keepNext/>
      </w:pPr>
      <w:r>
        <w:rPr>
          <w:sz w:val="28"/>
          <w:rFonts w:ascii="Times New Roman" w:hAnsi="Times New Roman"/>
        </w:rPr>
        <w:t xml:space="preserve">Bilješka 14.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6615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pruženih usluga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70.640,75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80.052,96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113,3</w:t>
            </w:r>
          </w:p>
        </w:tc>
      </w:tr>
    </w:tbl>
    <w:p>
      <w:pPr>
        <w:spacing w:before="0" w:after="0"/>
      </w:pPr>
    </w:p>
    <w:p>
      <w:r>
        <w:t xml:space="preserve">6615 – prihodi od pruženih usluga 80.052,96 eura gdje spadaju:</w:t>
      </w:r>
    </w:p>
    <w:tbl>
      <w:tblPr>
        <w:tblStyle w:val="TableGrid"/>
        <w:tblW w:w="5000" w:type="pct"/>
      </w:tblPr>
      <w:tblGrid>
        <w:gridCol w:w="3202"/>
        <w:gridCol w:w="3202"/>
        <w:gridCol w:w="3202"/>
      </w:tblGrid>
      <w:tr>
        <w:trPr>
          <w:trHeight w:val="542" w:hRule="atLeast"/>
        </w:trPr>
        <w:tc>
          <w:tcPr>
            <w:tcW w:w="1663" w:type="pct"/>
            <w:vAlign w:val="center"/>
          </w:tcPr>
          <w:p>
            <w:r>
              <w:t xml:space="preserve"> </w:t>
            </w:r>
          </w:p>
        </w:tc>
        <w:tc>
          <w:tcPr>
            <w:tcW w:w="1663" w:type="pct"/>
            <w:vAlign w:val="center"/>
          </w:tcPr>
          <w:p>
            <w:r>
              <w:t xml:space="preserve">12/2024.</w:t>
            </w:r>
          </w:p>
        </w:tc>
        <w:tc>
          <w:tcPr>
            <w:tcW w:w="1663" w:type="pct"/>
            <w:vAlign w:val="center"/>
          </w:tcPr>
          <w:p>
            <w:r>
              <w:t xml:space="preserve">12/2025.</w:t>
            </w:r>
          </w:p>
        </w:tc>
      </w:tr>
      <w:tr>
        <w:trPr>
          <w:trHeight w:val="878" w:hRule="atLeast"/>
        </w:trPr>
        <w:tc>
          <w:tcPr>
            <w:tcW w:w="1663" w:type="pct"/>
            <w:vAlign w:val="center"/>
          </w:tcPr>
          <w:p>
            <w:r>
              <w:t xml:space="preserve">Prihodi od pruženih usluga</w:t>
            </w:r>
          </w:p>
        </w:tc>
        <w:tc>
          <w:tcPr>
            <w:tcW w:w="1663" w:type="pct"/>
            <w:vAlign w:val="center"/>
          </w:tcPr>
          <w:p>
            <w:r>
              <w:t xml:space="preserve">751,98 €</w:t>
            </w:r>
          </w:p>
        </w:tc>
        <w:tc>
          <w:tcPr>
            <w:tcW w:w="1663" w:type="pct"/>
            <w:vAlign w:val="center"/>
          </w:tcPr>
          <w:p>
            <w:r>
              <w:t xml:space="preserve">1.437,54 €</w:t>
            </w:r>
          </w:p>
        </w:tc>
      </w:tr>
      <w:tr>
        <w:trPr>
          <w:trHeight w:val="542" w:hRule="atLeast"/>
        </w:trPr>
        <w:tc>
          <w:tcPr>
            <w:tcW w:w="1663" w:type="pct"/>
            <w:vAlign w:val="center"/>
          </w:tcPr>
          <w:p>
            <w:r>
              <w:t xml:space="preserve">Noćenje</w:t>
            </w:r>
          </w:p>
        </w:tc>
        <w:tc>
          <w:tcPr>
            <w:tcW w:w="1663" w:type="pct"/>
            <w:vAlign w:val="center"/>
          </w:tcPr>
          <w:p>
            <w:r>
              <w:t xml:space="preserve">11.301,22 €</w:t>
            </w:r>
          </w:p>
        </w:tc>
        <w:tc>
          <w:tcPr>
            <w:tcW w:w="1663" w:type="pct"/>
            <w:vAlign w:val="center"/>
          </w:tcPr>
          <w:p>
            <w:r>
              <w:t xml:space="preserve">11.673,59 €</w:t>
            </w:r>
          </w:p>
        </w:tc>
      </w:tr>
      <w:tr>
        <w:trPr>
          <w:trHeight w:val="542" w:hRule="atLeast"/>
        </w:trPr>
        <w:tc>
          <w:tcPr>
            <w:tcW w:w="1663" w:type="pct"/>
            <w:vAlign w:val="center"/>
          </w:tcPr>
          <w:p>
            <w:r>
              <w:t xml:space="preserve">Ugostiteljstvo</w:t>
            </w:r>
          </w:p>
        </w:tc>
        <w:tc>
          <w:tcPr>
            <w:tcW w:w="1663" w:type="pct"/>
            <w:vAlign w:val="center"/>
          </w:tcPr>
          <w:p>
            <w:r>
              <w:t xml:space="preserve">12,51 €</w:t>
            </w:r>
          </w:p>
        </w:tc>
        <w:tc>
          <w:tcPr>
            <w:tcW w:w="1663" w:type="pct"/>
            <w:vAlign w:val="center"/>
          </w:tcPr>
          <w:p>
            <w:r>
              <w:t xml:space="preserve">0,00 €</w:t>
            </w:r>
          </w:p>
        </w:tc>
      </w:tr>
      <w:tr>
        <w:trPr>
          <w:trHeight w:val="542" w:hRule="atLeast"/>
        </w:trPr>
        <w:tc>
          <w:tcPr>
            <w:tcW w:w="1663" w:type="pct"/>
            <w:vAlign w:val="center"/>
          </w:tcPr>
          <w:p>
            <w:r>
              <w:t xml:space="preserve">Adrenalinski i bicikl</w:t>
            </w:r>
          </w:p>
        </w:tc>
        <w:tc>
          <w:tcPr>
            <w:tcW w:w="1663" w:type="pct"/>
            <w:vAlign w:val="center"/>
          </w:tcPr>
          <w:p>
            <w:r>
              <w:t xml:space="preserve">1.688,20 €</w:t>
            </w:r>
          </w:p>
        </w:tc>
        <w:tc>
          <w:tcPr>
            <w:tcW w:w="1663" w:type="pct"/>
            <w:vAlign w:val="center"/>
          </w:tcPr>
          <w:p>
            <w:r>
              <w:t xml:space="preserve">1.806,80 €</w:t>
            </w:r>
          </w:p>
        </w:tc>
      </w:tr>
      <w:tr>
        <w:trPr>
          <w:trHeight w:val="542" w:hRule="atLeast"/>
        </w:trPr>
        <w:tc>
          <w:tcPr>
            <w:tcW w:w="1663" w:type="pct"/>
            <w:vAlign w:val="center"/>
          </w:tcPr>
          <w:p>
            <w:r>
              <w:t xml:space="preserve">Najam</w:t>
            </w:r>
          </w:p>
        </w:tc>
        <w:tc>
          <w:tcPr>
            <w:tcW w:w="1663" w:type="pct"/>
            <w:vAlign w:val="center"/>
          </w:tcPr>
          <w:p>
            <w:r>
              <w:t xml:space="preserve">12.027,26 €</w:t>
            </w:r>
          </w:p>
        </w:tc>
        <w:tc>
          <w:tcPr>
            <w:tcW w:w="1663" w:type="pct"/>
            <w:vAlign w:val="center"/>
          </w:tcPr>
          <w:p>
            <w:r>
              <w:t xml:space="preserve">21.260,68 €</w:t>
            </w:r>
          </w:p>
        </w:tc>
      </w:tr>
      <w:tr>
        <w:trPr>
          <w:trHeight w:val="542" w:hRule="atLeast"/>
        </w:trPr>
        <w:tc>
          <w:tcPr>
            <w:tcW w:w="1663" w:type="pct"/>
            <w:vAlign w:val="center"/>
          </w:tcPr>
          <w:p>
            <w:r>
              <w:t xml:space="preserve">Ribolovne</w:t>
            </w:r>
          </w:p>
        </w:tc>
        <w:tc>
          <w:tcPr>
            <w:tcW w:w="1663" w:type="pct"/>
            <w:vAlign w:val="center"/>
          </w:tcPr>
          <w:p>
            <w:r>
              <w:t xml:space="preserve">30.624,00 €</w:t>
            </w:r>
          </w:p>
        </w:tc>
        <w:tc>
          <w:tcPr>
            <w:tcW w:w="1663" w:type="pct"/>
            <w:vAlign w:val="center"/>
          </w:tcPr>
          <w:p>
            <w:r>
              <w:t xml:space="preserve">28.861,80 €</w:t>
            </w:r>
          </w:p>
        </w:tc>
      </w:tr>
      <w:tr>
        <w:trPr>
          <w:trHeight w:val="542" w:hRule="atLeast"/>
        </w:trPr>
        <w:tc>
          <w:tcPr>
            <w:tcW w:w="1663" w:type="pct"/>
            <w:vAlign w:val="center"/>
          </w:tcPr>
          <w:p>
            <w:r>
              <w:t xml:space="preserve">Ostale usluge</w:t>
            </w:r>
          </w:p>
        </w:tc>
        <w:tc>
          <w:tcPr>
            <w:tcW w:w="1663" w:type="pct"/>
            <w:vAlign w:val="center"/>
          </w:tcPr>
          <w:p>
            <w:r>
              <w:t xml:space="preserve">8.135,03 €</w:t>
            </w:r>
          </w:p>
        </w:tc>
        <w:tc>
          <w:tcPr>
            <w:tcW w:w="1663" w:type="pct"/>
            <w:vAlign w:val="center"/>
          </w:tcPr>
          <w:p>
            <w:r>
              <w:t xml:space="preserve">8.480,59 €</w:t>
            </w:r>
          </w:p>
        </w:tc>
      </w:tr>
      <w:tr>
        <w:trPr>
          <w:trHeight w:val="878" w:hRule="atLeast"/>
        </w:trPr>
        <w:tc>
          <w:tcPr>
            <w:tcW w:w="1663" w:type="pct"/>
            <w:vAlign w:val="center"/>
          </w:tcPr>
          <w:p>
            <w:r>
              <w:t xml:space="preserve">Stručno vođenje</w:t>
            </w:r>
          </w:p>
        </w:tc>
        <w:tc>
          <w:tcPr>
            <w:tcW w:w="1663" w:type="pct"/>
            <w:vAlign w:val="center"/>
          </w:tcPr>
          <w:p>
            <w:r>
              <w:t xml:space="preserve">6.100,55€</w:t>
            </w:r>
          </w:p>
        </w:tc>
        <w:tc>
          <w:tcPr>
            <w:tcW w:w="1663" w:type="pct"/>
            <w:vAlign w:val="center"/>
          </w:tcPr>
          <w:p>
            <w:r>
              <w:t xml:space="preserve"> </w:t>
            </w:r>
            <w:r>
              <w:br/>
            </w:r>
            <w:r>
              <w:t xml:space="preserve">6.531,96 €</w:t>
            </w:r>
          </w:p>
        </w:tc>
      </w:tr>
    </w:tbl>
    <w:p>
      <w:r>
        <w:t xml:space="preserve">U odnosu na 2024. godinu, Prihodi od pruženih usluga (projekcija filma) su povećani zbog veće realizacije, Ugostiteljstvo nema ostvarenih prihoda dok je u odnosu na prošlogodišnje promatrano razdoblje prihod ostvaren od naplate dijela duga iz 2015. godine od Finvest Corp d.d. temeljem rješenja iz predstečajne nagodbe Posl.br.14 Stpn-31/2016-26 čime je u potpunosti naplaćeno ono što nam je pripalo Rješenjem, a ostatak duga je otpisan.</w:t>
      </w:r>
    </w:p>
    <w:p>
      <w:r>
        <w:t xml:space="preserve"> Adrenalinski i bicikli su češće korišteni, Najam (održavanje sportskih događanja, prefakturiranje, najam stana-hostel, najam ugostiteljskog objekta, najam dvorane i opreme, najam dvorane i opreme za 1h) je povećan zbog naplate dospjelih troškova najma ugostiteljskog objekta i prefakturiranih troškova za struju i gorivo najmoprimcu ugostiteljskog objekta za cijelu godinu dok je u 2024. godini fakturiranje krenulo od svibnja, Ribolovne – smanjene zbog manjeg broja ribiča, niskog vodostaja. </w:t>
      </w:r>
    </w:p>
    <w:p/>
    <w:p>
      <w:pPr>
        <w:jc w:val="center"/>
        <w:pStyle w:val="Normal"/>
        <w:spacing w:line="240" w:lineRule="auto"/>
        <w:keepNext/>
      </w:pPr>
      <w:r>
        <w:rPr>
          <w:sz w:val="28"/>
          <w:rFonts w:ascii="Times New Roman" w:hAnsi="Times New Roman"/>
        </w:rPr>
        <w:t xml:space="preserve">Bilješka 15.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Tekuće donacije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4.294,96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4.830,00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112,5</w:t>
            </w:r>
          </w:p>
        </w:tc>
      </w:tr>
    </w:tbl>
    <w:p>
      <w:pPr>
        <w:spacing w:before="0" w:after="0"/>
      </w:pPr>
    </w:p>
    <w:p>
      <w:r>
        <w:t xml:space="preserve">6631 – tekuće donacije, 4.830,00 eura koji se odnosi na sredstva temeljem Ugovora o donaciji ID 313 „Šumsko oko“ sa dm-drogerie markt d.o.o.za čišćenje i uređenje jezerca pored JU NP Risnjak te postavljanja edukativne table.</w:t>
      </w:r>
    </w:p>
    <w:p>
      <w:r>
        <w:t xml:space="preserve"> </w:t>
      </w:r>
    </w:p>
    <w:p/>
    <w:p>
      <w:pPr>
        <w:jc w:val="center"/>
        <w:pStyle w:val="Normal"/>
        <w:spacing w:line="240" w:lineRule="auto"/>
        <w:keepNext/>
      </w:pPr>
      <w:r>
        <w:rPr>
          <w:sz w:val="28"/>
          <w:rFonts w:ascii="Times New Roman" w:hAnsi="Times New Roman"/>
        </w:rPr>
        <w:t xml:space="preserve">Bilješka 16.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iz nadležnog proračuna i od HZZO-a na temelju ugovornih obveza (šifre 671+673)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511.666,89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584.175,25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114,2</w:t>
            </w:r>
          </w:p>
        </w:tc>
      </w:tr>
    </w:tbl>
    <w:p>
      <w:pPr>
        <w:spacing w:before="0" w:after="0"/>
      </w:pPr>
    </w:p>
    <w:p>
      <w:r>
        <w:t xml:space="preserve">Na šifri 67 je iznos od 584.175,25 eura koji se odnosi na sredstva dobivena iz Državnog proračuna preko Ministarstva zaštite okoliša i zelene tranzicije, namijenjena za financiranje rashoda za zaposlene (plaća, uskrsnica, naknada za bolovanje &gt; 90 dana, naknada za neiskorišteni GO, regres, božićnica, dar za dijete, naknada za smrtni slučaj) za 17 zaposlenika gdje je ostvareno povećanje od 14,2 % zbog povećanja rashoda za zaposlene uslijed povećanja osnovice za 3% na temelju članka 31. stavka 2. Zakona o Vladi Republike Hrvatske (»Narodne novine«, br. 150/11., 119/14., 93/16., 116/18., 80/22. i 78/24.) i članka 13. stavka 2. Zakona o plaćama u državnoj službi i javnim službama (»Narodne novine«, broj 155/23.), gdje je Vlada Republike Hrvatske na sjednici održanoj 31. prosinca 2024. donijela Odluku o visini osnovice za obračun plaće u javnim službama u 2025. godini</w:t>
      </w:r>
    </w:p>
    <w:p/>
    <w:p>
      <w:pPr>
        <w:jc w:val="center"/>
        <w:pStyle w:val="Normal"/>
        <w:spacing w:line="240" w:lineRule="auto"/>
        <w:keepNext/>
      </w:pPr>
      <w:r>
        <w:rPr>
          <w:sz w:val="28"/>
          <w:rFonts w:ascii="Times New Roman" w:hAnsi="Times New Roman"/>
        </w:rPr>
        <w:t xml:space="preserve">Bilješka 17.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Kazne, upravne mjere i ostali prihodi (šifre 681+683)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29,53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1083,6</w:t>
            </w:r>
          </w:p>
        </w:tc>
      </w:tr>
    </w:tbl>
    <w:p>
      <w:pPr>
        <w:spacing w:before="0" w:after="0"/>
      </w:pPr>
    </w:p>
    <w:p>
      <w:r>
        <w:t xml:space="preserve">Na šifri 68 je iznos od 320,00 eura koji se odnosi na oprihodovana sredstva temeljem izjave o obustavi na plaći zaposlenika za nadoplatu prilikom nabave mobilnih uređaja, dok je u 2024. godini iznos od 29,53 eura doznačen od HEP OPSKRBA d.o.o. temeljem pretplate iz kolovoza 2019. godine.</w:t>
      </w:r>
    </w:p>
    <w:p/>
    <w:p>
      <w:pPr>
        <w:jc w:val="center"/>
        <w:pStyle w:val="Normal"/>
        <w:spacing w:line="240" w:lineRule="auto"/>
        <w:keepNext/>
      </w:pPr>
      <w:r>
        <w:rPr>
          <w:sz w:val="28"/>
          <w:rFonts w:ascii="Times New Roman" w:hAnsi="Times New Roman"/>
        </w:rPr>
        <w:t xml:space="preserve">Bilješka 18.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zaposlene (šifre 311+312+313)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526.675,33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647.017,31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122,8</w:t>
            </w:r>
          </w:p>
        </w:tc>
      </w:tr>
    </w:tbl>
    <w:p>
      <w:pPr>
        <w:spacing w:before="0" w:after="0"/>
      </w:pPr>
    </w:p>
    <w:p>
      <w:r>
        <w:t xml:space="preserve">Na šifri 31 je iznos od 647.017,31 eura, odnosno povećanje od 22,80 %, od kojih je 538.483,28 eura na kontu 3111 – plaće za redovan rad, 19.684,34 eura na kontu 312 – ostali rashodi za zaposlene (uskrsnica, naknada za bolovanje &gt; 90 dana, regres, božićnica, dar za dijete, naknada za smrtni slučaj), 88.849,69 eura na kontu 3132 – doprinosi za zdravstveno osiguranje.</w:t>
      </w:r>
    </w:p>
    <w:p/>
    <w:p>
      <w:pPr>
        <w:jc w:val="center"/>
        <w:pStyle w:val="Normal"/>
        <w:spacing w:line="240" w:lineRule="auto"/>
        <w:keepNext/>
      </w:pPr>
      <w:r>
        <w:rPr>
          <w:sz w:val="28"/>
          <w:rFonts w:ascii="Times New Roman" w:hAnsi="Times New Roman"/>
        </w:rPr>
        <w:t xml:space="preserve">Bilješka 19.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Službena putovanja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3.724,00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4.515,30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121,2</w:t>
            </w:r>
          </w:p>
        </w:tc>
      </w:tr>
    </w:tbl>
    <w:p>
      <w:pPr>
        <w:spacing w:before="0" w:after="0"/>
      </w:pPr>
    </w:p>
    <w:p>
      <w:r>
        <w:t xml:space="preserve">3211 - službena putovanja iznose 4.515,30 eura (21,2%) – odnosi se na isplatu dnevnica u zemlji i inozemstvu, naknada za smještaj i prijevoz (HAC, parking, Jadrolinija) na službenom putu sukladno potrebama poslovanja JU NP Risnjak</w:t>
      </w:r>
    </w:p>
    <w:p/>
    <w:p>
      <w:pPr>
        <w:jc w:val="center"/>
        <w:pStyle w:val="Normal"/>
        <w:spacing w:line="240" w:lineRule="auto"/>
        <w:keepNext/>
      </w:pPr>
      <w:r>
        <w:rPr>
          <w:sz w:val="28"/>
          <w:rFonts w:ascii="Times New Roman" w:hAnsi="Times New Roman"/>
        </w:rPr>
        <w:t xml:space="preserve">Bilješka 20.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Naknade za prijevoz, za rad na terenu i odvojeni život</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21.574,51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26.325,60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122,0</w:t>
            </w:r>
          </w:p>
        </w:tc>
      </w:tr>
    </w:tbl>
    <w:p>
      <w:pPr>
        <w:spacing w:before="0" w:after="0"/>
      </w:pPr>
    </w:p>
    <w:p>
      <w:r>
        <w:t xml:space="preserve">3212 – naknade za prijevoz na posao i s posla iznose 26.325,60 eura (22,00%) - čije cijene se usklađuju s kretanjem cijene goriva svakog posljednjeg utorka u mjesecu za umnožak postotka povećanja prosječne cijene goriva i faktora 0,7, </w:t>
      </w:r>
    </w:p>
    <w:p/>
    <w:p>
      <w:pPr>
        <w:jc w:val="center"/>
        <w:pStyle w:val="Normal"/>
        <w:spacing w:line="240" w:lineRule="auto"/>
        <w:keepNext/>
      </w:pPr>
      <w:r>
        <w:rPr>
          <w:sz w:val="28"/>
          <w:rFonts w:ascii="Times New Roman" w:hAnsi="Times New Roman"/>
        </w:rPr>
        <w:t xml:space="preserve">Bilješka 21.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Stručno usavršavanje zaposlenika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2.488,00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3.407,00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136,9</w:t>
            </w:r>
          </w:p>
        </w:tc>
      </w:tr>
    </w:tbl>
    <w:p>
      <w:pPr>
        <w:spacing w:before="0" w:after="0"/>
      </w:pPr>
    </w:p>
    <w:p>
      <w:r>
        <w:t xml:space="preserve">3213 – seminari, savjetovanja i simpoziji 3.407,00 eura (36,9 %) - edukacije djelatnika zbog promjena koje su stupile na snagu u 2025. godini, dodatnog usavršavanja iz područja računovodstva i financija, te osposobljavanja radnika iz područja prve pomoći</w:t>
      </w:r>
    </w:p>
    <w:p/>
    <w:p>
      <w:pPr>
        <w:jc w:val="center"/>
        <w:pStyle w:val="Normal"/>
        <w:spacing w:line="240" w:lineRule="auto"/>
        <w:keepNext/>
      </w:pPr>
      <w:r>
        <w:rPr>
          <w:sz w:val="28"/>
          <w:rFonts w:ascii="Times New Roman" w:hAnsi="Times New Roman"/>
        </w:rPr>
        <w:t xml:space="preserve">Bilješka 22.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Materijal i sirovine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14.324,64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18.278,96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127,6</w:t>
            </w:r>
          </w:p>
        </w:tc>
      </w:tr>
    </w:tbl>
    <w:p>
      <w:pPr>
        <w:spacing w:before="0" w:after="0"/>
      </w:pPr>
    </w:p>
    <w:p>
      <w:r>
        <w:t xml:space="preserve">3222 – materijal i sirovine 18.278,96 eura (27,6 %) - troškovi nabave suvenira i trgovačke robe za daljnju prodaju, te nabave materijala za potrebe provođenja projekta Interreg program Slovenija-Hrvatska 2021-2027 - transPlant i redovnog poslovanja</w:t>
      </w:r>
    </w:p>
    <w:p/>
    <w:p>
      <w:pPr>
        <w:jc w:val="center"/>
        <w:pStyle w:val="Normal"/>
        <w:spacing w:line="240" w:lineRule="auto"/>
        <w:keepNext/>
      </w:pPr>
      <w:r>
        <w:rPr>
          <w:sz w:val="28"/>
          <w:rFonts w:ascii="Times New Roman" w:hAnsi="Times New Roman"/>
        </w:rPr>
        <w:t xml:space="preserve">Bilješka 23.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Energija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20.108,13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24.882,03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123,7</w:t>
            </w:r>
          </w:p>
        </w:tc>
      </w:tr>
    </w:tbl>
    <w:p>
      <w:pPr>
        <w:spacing w:before="0" w:after="0"/>
      </w:pPr>
    </w:p>
    <w:p>
      <w:r>
        <w:t xml:space="preserve">3223 – energija 24.882,03 eura (23,7%) – povećanje troškova električne energije zbog rada ugostiteljskog dijela, troškova goriva za vozni park i troškova nabave peleta za potrebe grijanja</w:t>
      </w:r>
    </w:p>
    <w:p/>
    <w:p>
      <w:pPr>
        <w:jc w:val="center"/>
        <w:pStyle w:val="Normal"/>
        <w:spacing w:line="240" w:lineRule="auto"/>
        <w:keepNext/>
      </w:pPr>
      <w:r>
        <w:rPr>
          <w:sz w:val="28"/>
          <w:rFonts w:ascii="Times New Roman" w:hAnsi="Times New Roman"/>
        </w:rPr>
        <w:t xml:space="preserve">Bilješka 24.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Materijal i dijelovi za tekuće i investicijsko održavanje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11.338,80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6.276,10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55,4</w:t>
            </w:r>
          </w:p>
        </w:tc>
      </w:tr>
    </w:tbl>
    <w:p>
      <w:pPr>
        <w:spacing w:before="0" w:after="0"/>
      </w:pPr>
    </w:p>
    <w:p>
      <w:r>
        <w:t xml:space="preserve">3224 – materijal i dijelovi za tekuće i investicijsko održavanje 6.276,10 eura (smanjenje 44,6%) - troškovi materijala za servis na Dacia Duster-natura, Dacia Duster, Mitsubichi Outlander i Škodi Karoq, potrošni materijal za potrebe redovnog održavanja infrastrukture oko Uprave i Hostela, te novi akumulator za motorne sanjke. U prošlogodišnjem promatranom razdoblju nabavljen je materijal za pod u Šindrašnici, elektrode za AED defibrilator, materijal za održavanje Yamaha motornih sanjki, Mitsubichi Outlandera, Dacia Duster-natura, Škode Karoq, kultivatora, Mitsubichi Pick up, Traktora IMT 549 DV, i eBicikala.</w:t>
      </w:r>
    </w:p>
    <w:p/>
    <w:p>
      <w:pPr>
        <w:jc w:val="center"/>
        <w:pStyle w:val="Normal"/>
        <w:spacing w:line="240" w:lineRule="auto"/>
        <w:keepNext/>
      </w:pPr>
      <w:r>
        <w:rPr>
          <w:sz w:val="28"/>
          <w:rFonts w:ascii="Times New Roman" w:hAnsi="Times New Roman"/>
        </w:rPr>
        <w:t xml:space="preserve">Bilješka 25.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Usluge tekućeg i investicijskog održavanja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17.634,25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10.570,24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59,9</w:t>
            </w:r>
          </w:p>
        </w:tc>
      </w:tr>
    </w:tbl>
    <w:p>
      <w:pPr>
        <w:spacing w:before="0" w:after="0"/>
      </w:pPr>
    </w:p>
    <w:p>
      <w:r>
        <w:t xml:space="preserve">3232 – usluge tekućeg i investicijskog održavanja, 10.570,24 eura (smanjenje 40,1%) -  troškovi servisa puhala zraka, servisa na računalima edukatora, ravnatelja i marketinga, intervencija, detekcija i popravak na vodovodnim cijevima u Upravi, servis PP aparata te servis na Dacia Duster-natura, Mitsubichi Pick Up i motornim sanjkama, dok je u prošlogodišnjem promatranom razdoblju obnovljen adrenalinski park, servis na Opel Vivaru, Dacia Duster-Naturi, Mitsubishi Outlanderu i motornim sanjkama, te montaža i keramičarski radovi u Hostelu, zamjena senzora u Hostelu, popravk perilice u restoranu i servis konvektomata</w:t>
      </w:r>
    </w:p>
    <w:p/>
    <w:p>
      <w:pPr>
        <w:jc w:val="center"/>
        <w:pStyle w:val="Normal"/>
        <w:spacing w:line="240" w:lineRule="auto"/>
        <w:keepNext/>
      </w:pPr>
      <w:r>
        <w:rPr>
          <w:sz w:val="28"/>
          <w:rFonts w:ascii="Times New Roman" w:hAnsi="Times New Roman"/>
        </w:rPr>
        <w:t xml:space="preserve">Bilješka 26.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Komunalne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17.201,27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40.188,66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233,6</w:t>
            </w:r>
          </w:p>
        </w:tc>
      </w:tr>
    </w:tbl>
    <w:p>
      <w:pPr>
        <w:spacing w:before="0" w:after="0"/>
      </w:pPr>
    </w:p>
    <w:p>
      <w:r>
        <w:t xml:space="preserve">3234 – komunalne usluge 40.188,66 eura (233,6%) – povećanje troškova temeljem Rješenja izdanog dana 30.06.2025 od strane Hrvatskih voda, KLASA:UP/I-325-10/25-04/0080847, URBROJ:374-3305-2-25-1 kojim se utvrđuje NUV za zemljišta u granicama nacionalnog parka čije plaćanje je potrebno izvršiti u VI obroka u mjesečnim iznosima od 4.335,59 eura do kraja 2025. godine</w:t>
      </w:r>
    </w:p>
    <w:p/>
    <w:p>
      <w:pPr>
        <w:jc w:val="center"/>
        <w:pStyle w:val="Normal"/>
        <w:spacing w:line="240" w:lineRule="auto"/>
        <w:keepNext/>
      </w:pPr>
      <w:r>
        <w:rPr>
          <w:sz w:val="28"/>
          <w:rFonts w:ascii="Times New Roman" w:hAnsi="Times New Roman"/>
        </w:rPr>
        <w:t xml:space="preserve">Bilješka 27.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Zakupnine i najamnine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3.527,62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4.067,27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115,3</w:t>
            </w:r>
          </w:p>
        </w:tc>
      </w:tr>
    </w:tbl>
    <w:p>
      <w:pPr>
        <w:spacing w:before="0" w:after="0"/>
      </w:pPr>
    </w:p>
    <w:p>
      <w:r>
        <w:t xml:space="preserve">3235 – zakupnine i najamnine 4.067,27 eura (15,3%) –  uz redovne troškove zakupa plaćen je zakup sukladno Aneksu II Ugovora o zakupu zgrade stare školske zgrade u Razlogama koja je u sklopu NIP-projekta integracije u EU Natura 2000 prenamijenjena u edukacijsko-interpretacijski centar pod nazivom „Goranska kuća znanja“ a koristi se za prihvat posjetitelja, te zemljište oko škole koje je većinom kultivirano, a u sklopu projekta IPA SI_HR 2007-2013 uspostavljen je ograđeni voćnjak sa starim sortama voćaka jabuka koji se koristi u edukativne svrhe</w:t>
      </w:r>
    </w:p>
    <w:p/>
    <w:p>
      <w:pPr>
        <w:jc w:val="center"/>
        <w:pStyle w:val="Normal"/>
        <w:spacing w:line="240" w:lineRule="auto"/>
        <w:keepNext/>
      </w:pPr>
      <w:r>
        <w:rPr>
          <w:sz w:val="28"/>
          <w:rFonts w:ascii="Times New Roman" w:hAnsi="Times New Roman"/>
        </w:rPr>
        <w:t xml:space="preserve">Bilješka 28.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Zdravstvene i veterinarske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1.102,88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1.257,70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114,0</w:t>
            </w:r>
          </w:p>
        </w:tc>
      </w:tr>
    </w:tbl>
    <w:p>
      <w:pPr>
        <w:spacing w:before="0" w:after="0"/>
      </w:pPr>
    </w:p>
    <w:p>
      <w:r>
        <w:t xml:space="preserve">3236 – zdravstvene i veterinarske usluge 1.257,70 eura (14,00 %) - napravljeni su sistematski pregledi zaposlenika sukladno kolektivnom ugovoru za 7 djelatnika iz odjela čuvara prirode, odjela stručnih poslova zaštite, očuvanja i korištenja nacionalnog parka, odjeljka računovodstva i poodsjeka promocije i ugostiteljstva, te redovni zdravstveni pregledi sposobnosti radnika određene pravilnikom o poslovima s posebnim uvjetima rada za djelatnika u odjeljku tehničkih poslova i poslova održavanja infrastrukture i djelatnice pod odsjeka promocije i ugostiteljstva</w:t>
      </w:r>
    </w:p>
    <w:p/>
    <w:p>
      <w:pPr>
        <w:jc w:val="center"/>
        <w:pStyle w:val="Normal"/>
        <w:spacing w:line="240" w:lineRule="auto"/>
        <w:keepNext/>
      </w:pPr>
      <w:r>
        <w:rPr>
          <w:sz w:val="28"/>
          <w:rFonts w:ascii="Times New Roman" w:hAnsi="Times New Roman"/>
        </w:rPr>
        <w:t xml:space="preserve">Bilješka 29.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Intelektualne i osobne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58.320,40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53.174,25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91,2</w:t>
            </w:r>
          </w:p>
        </w:tc>
      </w:tr>
    </w:tbl>
    <w:p>
      <w:pPr>
        <w:spacing w:before="0" w:after="0"/>
      </w:pPr>
    </w:p>
    <w:p>
      <w:r>
        <w:t xml:space="preserve">3237 – intelektualne i osobne usluge 53.174,25 (smanjenje 8,8%) – autorski honorari (1. dio troškova za analizu ulova na feromonskim klopkama, te usporedba i analiza u kontekstu višegodišnjeg monitoringa sa nastavkom terenskog istraživanja jelovog valjkastog srčikara – entomološko/akarološko istraživanje, dizajn majice, glazbeni nastup za tradicionalni planinarski pohod na izvor Kupe u sklopu Razloškog Petrova, a sve u sklopu Aktivnosti – CC Informiranje i promidžba Plana upravljanja Nacionalnim parkom Risnjak i pridruženim zaštićenim područjem i područjima ekološke mreže), ugovore o djelu (prodaja dnevnih, ribolovnih dozvola i ulaznica) mjesečni troškovi vanjskog odvjetničkog ureda, istraživanja utjecaja atmosferskih taloženja na šumske ekosustave u JU NP Risnjak po Ugovoru Klasa:641-01/24-01/01 URBROJ:2170-6-2-02-24-01 2.dio, korekcija troškovnika projekta obnove i uređenja poučne staze „Leska“, stručna podrška obrade i analize podataka i pregleda travnjaka s ciljem definiranja provedbe aktivnih mjera održavanja u svrhu poboljšanog upravljanja NP Risnjak i pridruženim zaštićenim područjem i područjima Ekološke mreže" za financiranje iz Programa konkurentnost i kohezija 2021.-2027., usluge savjetovanja u postupcima javne nabave, te usluge sređivanja arhivskog i dokumentarnog gradiva</w:t>
      </w:r>
    </w:p>
    <w:p/>
    <w:p>
      <w:pPr>
        <w:jc w:val="center"/>
        <w:pStyle w:val="Normal"/>
        <w:spacing w:line="240" w:lineRule="auto"/>
        <w:keepNext/>
      </w:pPr>
      <w:r>
        <w:rPr>
          <w:sz w:val="28"/>
          <w:rFonts w:ascii="Times New Roman" w:hAnsi="Times New Roman"/>
        </w:rPr>
        <w:t xml:space="preserve">Bilješka 30.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Računalne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21.438,44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24.832,78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115,8</w:t>
            </w:r>
          </w:p>
        </w:tc>
      </w:tr>
    </w:tbl>
    <w:p>
      <w:pPr>
        <w:spacing w:before="0" w:after="0"/>
      </w:pPr>
    </w:p>
    <w:p>
      <w:r>
        <w:t xml:space="preserve">3238 – računalne usluge 24.832,78 eura (15,8%) - godišnji troška zakupa licenci aplikativnog rješenja „Virga“, dodatna podrška, administracija korisničke baze (kasa na prodajnom mjestu nije radila i onemogućeno učitavanje podatka sa servera zbog sporog interneta) i aplikativno programiranje (podešavanje prihvata podataka iz robnog – prihvat dokumenata, provjera sa rekapitulacijama, provjera konta zalihe sa stanjem zaliha na dan, pregled primki)</w:t>
      </w:r>
    </w:p>
    <w:p/>
    <w:p>
      <w:pPr>
        <w:jc w:val="center"/>
        <w:pStyle w:val="Normal"/>
        <w:spacing w:line="240" w:lineRule="auto"/>
        <w:keepNext/>
      </w:pPr>
      <w:r>
        <w:rPr>
          <w:sz w:val="28"/>
          <w:rFonts w:ascii="Times New Roman" w:hAnsi="Times New Roman"/>
        </w:rPr>
        <w:t xml:space="preserve">Bilješka 31.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Naknade troškova osobama izvan radnog odnosa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422,19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838,31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198,6</w:t>
            </w:r>
          </w:p>
        </w:tc>
      </w:tr>
    </w:tbl>
    <w:p>
      <w:pPr>
        <w:spacing w:before="0" w:after="0"/>
      </w:pPr>
    </w:p>
    <w:p>
      <w:r>
        <w:t xml:space="preserve">324 – naknade troškova osobama izvan radnog odnosa 838,31 eura (98,6%) povećanje zbog provođenja volonterskih akcija održavanja livada i objekata – vidikovac, te volonterskog programa „Šindraš“</w:t>
      </w:r>
    </w:p>
    <w:p/>
    <w:p>
      <w:pPr>
        <w:jc w:val="center"/>
        <w:pStyle w:val="Normal"/>
        <w:spacing w:line="240" w:lineRule="auto"/>
        <w:keepNext/>
      </w:pPr>
      <w:r>
        <w:rPr>
          <w:sz w:val="28"/>
          <w:rFonts w:ascii="Times New Roman" w:hAnsi="Times New Roman"/>
        </w:rPr>
        <w:t xml:space="preserve">Bilješka 32.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Reprezentacija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4.326,93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5.894,20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136,2</w:t>
            </w:r>
          </w:p>
        </w:tc>
      </w:tr>
    </w:tbl>
    <w:p>
      <w:pPr>
        <w:spacing w:before="0" w:after="0"/>
      </w:pPr>
    </w:p>
    <w:p>
      <w:r>
        <w:t xml:space="preserve">3293 – reprezentacija 5.894,20 eura (36,2 %) povećanje zbog aktivnosti radi izgradnje poslovnih odnosa s klijentima i poslovnim partnerima, te organizacije i sudjelovanja na događanjima (transPlant)</w:t>
      </w:r>
    </w:p>
    <w:p/>
    <w:p>
      <w:pPr>
        <w:jc w:val="center"/>
        <w:pStyle w:val="Normal"/>
        <w:spacing w:line="240" w:lineRule="auto"/>
        <w:keepNext/>
      </w:pPr>
      <w:r>
        <w:rPr>
          <w:sz w:val="28"/>
          <w:rFonts w:ascii="Times New Roman" w:hAnsi="Times New Roman"/>
        </w:rPr>
        <w:t xml:space="preserve">Bilješka 33.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Članarine i norme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515,00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w:t>
            </w:r>
          </w:p>
        </w:tc>
      </w:tr>
    </w:tbl>
    <w:p>
      <w:pPr>
        <w:spacing w:before="0" w:after="0"/>
      </w:pPr>
    </w:p>
    <w:p>
      <w:r>
        <w:t xml:space="preserve">3294 – članarine i norme 15,00 eura (smanjenje 97,10%) troškovi godišnje članarine za LAG dok je u prošlogodišnjem promatranom razdoblju plaćena članarina Parkovima Dinarida - mreži zaštićenih područja Dinarida koja je posvećena unapređenju prirodnih i kulturnih vrijednosti zaštićenih područja Dinarida, njihovoj promociju i podršci, kao i primjeni dobrih praksi održivog razvoja i upravljanja. Mrežu Parkova Dinarida čini više od 100 zaštićenih područja iz Albanije, Bosne i Hercegovine, Crne Gore, Hrvatske, Kosova, Sjeverne Makedonije, Slovenije i Srbije.</w:t>
      </w:r>
    </w:p>
    <w:p/>
    <w:p>
      <w:pPr>
        <w:jc w:val="center"/>
        <w:pStyle w:val="Normal"/>
        <w:spacing w:line="240" w:lineRule="auto"/>
        <w:keepNext/>
      </w:pPr>
      <w:r>
        <w:rPr>
          <w:sz w:val="28"/>
          <w:rFonts w:ascii="Times New Roman" w:hAnsi="Times New Roman"/>
        </w:rPr>
        <w:t xml:space="preserve">Bilješka 34.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nespomenuti rashodi poslovanja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24,16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40,09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165,9</w:t>
            </w:r>
          </w:p>
        </w:tc>
      </w:tr>
    </w:tbl>
    <w:p>
      <w:pPr>
        <w:spacing w:before="0" w:after="0"/>
      </w:pPr>
    </w:p>
    <w:p>
      <w:r>
        <w:t xml:space="preserve">3299 – ostali nespomenuti rashodi poslovanja 40,09 eura (65,9%) troškovi vlastite potrošnje</w:t>
      </w:r>
    </w:p>
    <w:p/>
    <w:p>
      <w:pPr>
        <w:jc w:val="center"/>
        <w:pStyle w:val="Normal"/>
        <w:spacing w:line="240" w:lineRule="auto"/>
        <w:keepNext/>
      </w:pPr>
      <w:r>
        <w:rPr>
          <w:sz w:val="28"/>
          <w:rFonts w:ascii="Times New Roman" w:hAnsi="Times New Roman"/>
        </w:rPr>
        <w:t xml:space="preserve">Bilješka 35.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Bankarske usluge i usluge platnog prometa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2.021,30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2.146,54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106,2</w:t>
            </w:r>
          </w:p>
        </w:tc>
      </w:tr>
    </w:tbl>
    <w:p>
      <w:pPr>
        <w:spacing w:before="0" w:after="0"/>
      </w:pPr>
    </w:p>
    <w:p>
      <w:r>
        <w:t xml:space="preserve">3431 – bankarske usluge i usluge platnog prometa 2.146,54 eura (6,2%) koje su povećane u odnosu na prošlu godinu zbog podizanja vrećica za dnevno noćni trezor, te porasta mjesečnih troškova održavanja računa i korištenja NetBanking i nBanking usluge sukladno odluci o Naknadama za usluge platnog prometa u poslovanju s poslovnim subjektima u primjeni od 31.3.2025</w:t>
      </w:r>
    </w:p>
    <w:p/>
    <w:p>
      <w:pPr>
        <w:jc w:val="center"/>
        <w:pStyle w:val="Normal"/>
        <w:spacing w:line="240" w:lineRule="auto"/>
        <w:keepNext/>
      </w:pPr>
      <w:r>
        <w:rPr>
          <w:sz w:val="28"/>
          <w:rFonts w:ascii="Times New Roman" w:hAnsi="Times New Roman"/>
        </w:rPr>
        <w:t xml:space="preserve">Bilješka 36.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Zatezne kamate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5985,7</w:t>
            </w:r>
          </w:p>
        </w:tc>
      </w:tr>
    </w:tbl>
    <w:p>
      <w:pPr>
        <w:spacing w:before="0" w:after="0"/>
      </w:pPr>
    </w:p>
    <w:p>
      <w:r>
        <w:t xml:space="preserve">3433 – zatezne kamate 8,38 eura (5.985,7%) kamata zbog ispravka PDV-a za 02/2025, te zatezna kamata zbog 15 dana kašnjenja plaćanja 1. obroka za NUV prema Hrvatskim vodama</w:t>
      </w:r>
    </w:p>
    <w:p/>
    <w:p>
      <w:pPr>
        <w:jc w:val="center"/>
        <w:pStyle w:val="Normal"/>
        <w:spacing w:line="240" w:lineRule="auto"/>
        <w:keepNext/>
      </w:pPr>
      <w:r>
        <w:rPr>
          <w:sz w:val="28"/>
          <w:rFonts w:ascii="Times New Roman" w:hAnsi="Times New Roman"/>
        </w:rPr>
        <w:t xml:space="preserve">Bilješka 37.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dane u inozemstvo i unutar općeg proračuna (šifre 361+362+363+365+366+367+368+369)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3.054,63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3.406,91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111,5</w:t>
            </w:r>
          </w:p>
        </w:tc>
      </w:tr>
    </w:tbl>
    <w:p>
      <w:pPr>
        <w:spacing w:before="0" w:after="0"/>
      </w:pPr>
    </w:p>
    <w:p>
      <w:r>
        <w:t xml:space="preserve">Na šifri 36 je iznos 3.406,91 eura, odnosno povećanje od 11,5%, a odnosi se na uplatu 3% u Državni proračun sukladno Pravilniku o mjerilima i načinu korištenja nenamjenskih donacija i vlastitih prihoda u Zajednički fond PP i NP za razdoblje od 01.12.-31.12.2024. i 01.01.2025.-30.11.2025. godine temeljem ostvarenih prihoda od prodaje ulaznica za spomenuta razdoblja.</w:t>
      </w:r>
    </w:p>
    <w:p/>
    <w:p>
      <w:pPr>
        <w:jc w:val="center"/>
        <w:pStyle w:val="Normal"/>
        <w:spacing w:line="240" w:lineRule="auto"/>
        <w:keepNext/>
      </w:pPr>
      <w:r>
        <w:rPr>
          <w:sz w:val="28"/>
          <w:rFonts w:ascii="Times New Roman" w:hAnsi="Times New Roman"/>
        </w:rPr>
        <w:t xml:space="preserve">Bilješka 38.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donacije, kazne, naknade šteta i kapitalne pomoći (šifre 381+382+383+386)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2.667,73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Na šifri 38 je iznos 2.667,73 eura, a odnosi se na troškove prekršajnog naloga od Ministarstva poljoprivrede, šumarstva i ribarstva KLASA: 324-06/25-02/391, URBROJ: 525-12/806-25-2 od 10. studenog 2025. godine, temeljem čl.229. Prekršajnog zakona (NN 107/07, 39/13, 157/13, 110/15 i 118/18) jer JU NP Risnjak tijekom 2023., 2024. i 2025. godine nije osigurala stručno upravljanje ribljim fondom ribolovne zone za koju ima ribolovno pravo čime je počinjen prekršaj iz čl.26 st.1 Zakona o slatkovodnom ribarstvu (NN 63/19).</w:t>
      </w:r>
    </w:p>
    <w:p/>
    <w:p>
      <w:pPr>
        <w:jc w:val="center"/>
        <w:pStyle w:val="Normal"/>
        <w:spacing w:line="240" w:lineRule="auto"/>
        <w:keepNext/>
      </w:pPr>
      <w:r>
        <w:rPr>
          <w:sz w:val="28"/>
          <w:rFonts w:ascii="Times New Roman" w:hAnsi="Times New Roman"/>
        </w:rPr>
        <w:t xml:space="preserve">Bilješka 39.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328,00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w:t>
            </w:r>
          </w:p>
        </w:tc>
      </w:tr>
    </w:tbl>
    <w:p>
      <w:pPr>
        <w:spacing w:before="0" w:after="0"/>
      </w:pPr>
    </w:p>
    <w:p>
      <w:r>
        <w:t xml:space="preserve">U izvještajnom razdoblju Javna ustanova Nacionalni park Risnjak ostvarila je ukupne prihode od prodaje nefinancijske imovine u iznosu od 40,00 eura temeljem KUPOPRODAJNOG UGOVORA - konj Miško, URBROJ: 406-02/25-01/01, KLASA:2170-6-2-01-25-07 u Crnom Lugu 23.04.2025. godine</w:t>
      </w:r>
    </w:p>
    <w:p/>
    <w:p>
      <w:pPr>
        <w:jc w:val="center"/>
        <w:pStyle w:val="Normal"/>
        <w:spacing w:line="240" w:lineRule="auto"/>
        <w:keepNext/>
      </w:pPr>
      <w:r>
        <w:rPr>
          <w:sz w:val="28"/>
          <w:rFonts w:ascii="Times New Roman" w:hAnsi="Times New Roman"/>
        </w:rPr>
        <w:t xml:space="preserve">Bilješka 40.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neproizvedene dugotrajne imovine (šifre 411+412)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Na šifri 41 nije bilo zabilježenih troškova, dok je u prošlogodišnjem promatranom razdoblju nastao trošak zbog ažuriranja troškovnika za PD Risnjak i Snježnik</w:t>
      </w:r>
    </w:p>
    <w:p/>
    <w:p>
      <w:pPr>
        <w:jc w:val="center"/>
        <w:pStyle w:val="Normal"/>
        <w:spacing w:line="240" w:lineRule="auto"/>
        <w:keepNext/>
      </w:pPr>
      <w:r>
        <w:rPr>
          <w:sz w:val="28"/>
          <w:rFonts w:ascii="Times New Roman" w:hAnsi="Times New Roman"/>
        </w:rPr>
        <w:t xml:space="preserve">Bilješka 41.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Poslovni objekti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80.469,10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4212 – poslovni objekti, u ovom izvještajnom razdoblju nije bilo ostvarenja dok je prošle godine nastao trošak za I. privremenu situaciju za izvršene radove na adaptaciji i opremanju soba za goste u Pansionu Risnjak; </w:t>
      </w:r>
    </w:p>
    <w:p/>
    <w:p>
      <w:pPr>
        <w:jc w:val="center"/>
        <w:pStyle w:val="Normal"/>
        <w:spacing w:line="240" w:lineRule="auto"/>
        <w:keepNext/>
      </w:pPr>
      <w:r>
        <w:rPr>
          <w:sz w:val="28"/>
          <w:rFonts w:ascii="Times New Roman" w:hAnsi="Times New Roman"/>
        </w:rPr>
        <w:t xml:space="preserve">Bilješka 42.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4214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građevinski objekti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45.938,28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457.045,98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994,9</w:t>
            </w:r>
          </w:p>
        </w:tc>
      </w:tr>
    </w:tbl>
    <w:p>
      <w:pPr>
        <w:spacing w:before="0" w:after="0"/>
      </w:pPr>
    </w:p>
    <w:p>
      <w:r>
        <w:t xml:space="preserve">4214 – ostali građevinski objekti, 457.045,98 eura (994,9%) zbog radova na Rodnoj kući Rijeke Kupe i osmatračnici na Btovom lazu, četiri Privremene situacije temeljem Ugovora o javnoj nabavi za izgradnju pješačkog mosta preko Kupe u Gornjim Kuparima, dvije privremene i okončane situacije temeljem Ugovor o javnoj nabavi za obnovu i uređenje poučne staze „Leska“, zamjene krova na Aginoj kući, obnove gazišta na stazi Razloge-izvor Kupe, te radova na brvnari Lazac</w:t>
      </w:r>
    </w:p>
    <w:p/>
    <w:p>
      <w:pPr>
        <w:jc w:val="center"/>
        <w:pStyle w:val="Normal"/>
        <w:spacing w:line="240" w:lineRule="auto"/>
        <w:keepNext/>
      </w:pPr>
      <w:r>
        <w:rPr>
          <w:sz w:val="28"/>
          <w:rFonts w:ascii="Times New Roman" w:hAnsi="Times New Roman"/>
        </w:rPr>
        <w:t xml:space="preserve">Bilješka 43.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Uredska oprema i namještaj</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1.453,00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2.355,40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162,1</w:t>
            </w:r>
          </w:p>
        </w:tc>
      </w:tr>
    </w:tbl>
    <w:p>
      <w:pPr>
        <w:spacing w:before="0" w:after="0"/>
      </w:pPr>
    </w:p>
    <w:p>
      <w:r>
        <w:t xml:space="preserve">4221 – uredska oprema i namještaj, 2.355,40 eura (62,10%), nabavljeno novo AllInOne računalo za Odjeljak računovodstva i financija, laptop za Ured Ravnatelja, POS scanner za prodajno mjesto, te dvije uredske stolice</w:t>
      </w:r>
    </w:p>
    <w:p/>
    <w:p>
      <w:pPr>
        <w:jc w:val="center"/>
        <w:pStyle w:val="Normal"/>
        <w:spacing w:line="240" w:lineRule="auto"/>
        <w:keepNext/>
      </w:pPr>
      <w:r>
        <w:rPr>
          <w:sz w:val="28"/>
          <w:rFonts w:ascii="Times New Roman" w:hAnsi="Times New Roman"/>
        </w:rPr>
        <w:t xml:space="preserve">Bilješka 44.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Komunikacijska oprema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940,00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4222- komunikacijska oprema, 940,00 eura nabava službenih mobitela za djelatnike</w:t>
      </w:r>
    </w:p>
    <w:p/>
    <w:p>
      <w:pPr>
        <w:jc w:val="center"/>
        <w:pStyle w:val="Normal"/>
        <w:spacing w:line="240" w:lineRule="auto"/>
        <w:keepNext/>
      </w:pPr>
      <w:r>
        <w:rPr>
          <w:sz w:val="28"/>
          <w:rFonts w:ascii="Times New Roman" w:hAnsi="Times New Roman"/>
        </w:rPr>
        <w:t xml:space="preserve">Bilješka 45.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Oprema za održavanje i zaštitu</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9.532,60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2.941,17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30,9</w:t>
            </w:r>
          </w:p>
        </w:tc>
      </w:tr>
    </w:tbl>
    <w:p>
      <w:pPr>
        <w:spacing w:before="0" w:after="0"/>
      </w:pPr>
    </w:p>
    <w:p>
      <w:r>
        <w:t xml:space="preserve">4223 – oprema za održavanje i zaštitu, 2.941,17 eura (smanjenje za 69,10%) jer je u ovom izvještajnom razdoblju nabavljena oprema za Quad dok je prošle godine postavljena vanjska ograda oko Hostela,</w:t>
      </w:r>
    </w:p>
    <w:p/>
    <w:p>
      <w:pPr>
        <w:jc w:val="center"/>
        <w:pStyle w:val="Normal"/>
        <w:spacing w:line="240" w:lineRule="auto"/>
        <w:keepNext/>
      </w:pPr>
      <w:r>
        <w:rPr>
          <w:sz w:val="28"/>
          <w:rFonts w:ascii="Times New Roman" w:hAnsi="Times New Roman"/>
        </w:rPr>
        <w:t xml:space="preserve">Bilješka 46.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Uređaji, strojevi i oprema za ostale namjene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50.926,08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3.506,80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6,9</w:t>
            </w:r>
          </w:p>
        </w:tc>
      </w:tr>
    </w:tbl>
    <w:p>
      <w:pPr>
        <w:spacing w:before="0" w:after="0"/>
      </w:pPr>
    </w:p>
    <w:p>
      <w:r>
        <w:t xml:space="preserve">4227 – uređaji, strojevi i oprema, 3.506,80 eura (smanjenje 93,1%) gdje je nabavljeno 8 datalogera za potrebe provođenja projekta Interreg program Slovenija-Hrvatska 2021-2027 – transPlant, dok je u prošlogodišnjem promatranom razdoblju nabavljena parna postaja za potrebe Hostela, frižider za Upravu, datalogeri za potrebe projekta transPlant, te oprema (trosjedi za razvlačenje, stolice bez rukonaslona, fotelja, klub stolića, garderobni ormari, otvoreni ormari za odlaganje prtljage i obuće, noćnih ormarića, kreveta) za opremanje soba sukladno II i III privremenoj situaciji u Pansionu Risnjak,</w:t>
      </w:r>
    </w:p>
    <w:p/>
    <w:p>
      <w:pPr>
        <w:jc w:val="center"/>
        <w:pStyle w:val="Normal"/>
        <w:spacing w:line="240" w:lineRule="auto"/>
        <w:keepNext/>
      </w:pPr>
      <w:r>
        <w:rPr>
          <w:sz w:val="28"/>
          <w:rFonts w:ascii="Times New Roman" w:hAnsi="Times New Roman"/>
        </w:rPr>
        <w:t xml:space="preserve">Bilješka 47.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Prijevozna sredstva u cestovnom prometu</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10.657,80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18.960,80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177,9</w:t>
            </w:r>
          </w:p>
        </w:tc>
      </w:tr>
    </w:tbl>
    <w:p>
      <w:pPr>
        <w:spacing w:before="0" w:after="0"/>
      </w:pPr>
    </w:p>
    <w:p>
      <w:r>
        <w:t xml:space="preserve">4231 – prijevozna sredstva u cestovnom prometu, 18.960,80 eura (77,90%) – nabava ATV vozila s pratećom opremom (prikolica i ralica)</w:t>
      </w:r>
    </w:p>
    <w:p/>
    <w:p>
      <w:pPr>
        <w:jc w:val="center"/>
        <w:pStyle w:val="Normal"/>
        <w:spacing w:line="240" w:lineRule="auto"/>
        <w:keepNext/>
      </w:pPr>
      <w:r>
        <w:rPr>
          <w:sz w:val="28"/>
          <w:rFonts w:ascii="Times New Roman" w:hAnsi="Times New Roman"/>
        </w:rPr>
        <w:t xml:space="preserve">Bilješka 48.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4264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Ostala nematerijalna proizvedena imovina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1.360,00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73,5</w:t>
            </w:r>
          </w:p>
        </w:tc>
      </w:tr>
    </w:tbl>
    <w:p>
      <w:pPr>
        <w:spacing w:before="0" w:after="0"/>
      </w:pPr>
    </w:p>
    <w:p>
      <w:r>
        <w:t xml:space="preserve">4264 – ostala nematerijalna proizvedena imovina, 1.000,00 eura (smanjenje 26,5%) za troškove izrade idejnog elektrotehničkog projekta fotonaponske elektrane za Volonterski centar i Upravnu zgradu, dok je u prošlogodišnjem promatranom razdoblju trošak nastao zbog izrade elaborata diobe i/ili spajanja čestica prema građevinskoj dozvoli za mosta u Gornjim Kuparima.</w:t>
      </w:r>
    </w:p>
    <w:p/>
    <w:p>
      <w:pPr>
        <w:jc w:val="center"/>
        <w:pStyle w:val="Normal"/>
        <w:spacing w:line="240" w:lineRule="auto"/>
        <w:keepNext/>
      </w:pPr>
      <w:r>
        <w:rPr>
          <w:sz w:val="28"/>
          <w:rFonts w:ascii="Times New Roman" w:hAnsi="Times New Roman"/>
        </w:rPr>
        <w:t xml:space="preserve">Bilješka 49.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dodatna ulaganja na nefinancijskoj imovini (šifre 451 do 454)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Na šifri 45 u ovom izvještajnom razdoblju nije bilo troškova</w:t>
      </w:r>
    </w:p>
    <w:p/>
    <w:p>
      <w:pPr>
        <w:jc w:val="center"/>
        <w:pStyle w:val="Normal"/>
        <w:spacing w:line="240" w:lineRule="auto"/>
        <w:keepNext/>
      </w:pPr>
      <w:r>
        <w:rPr>
          <w:sz w:val="28"/>
          <w:rFonts w:ascii="Times New Roman" w:hAnsi="Times New Roman"/>
        </w:rPr>
        <w:t xml:space="preserve">Bilješka 50.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Višak prihoda i primitaka raspoloživ u sljedećem razdoblju (šifre X005 + '9221-9222' - Y005 - '9222-9221')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X006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172.202,83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150.919,28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87,6</w:t>
            </w:r>
          </w:p>
        </w:tc>
      </w:tr>
    </w:tbl>
    <w:p>
      <w:pPr>
        <w:spacing w:before="0" w:after="0"/>
      </w:pPr>
    </w:p>
    <w:p>
      <w:r>
        <w:t xml:space="preserve">Ustanova je u navedenom izvještajnom razdoblju ostvarila manjak prihoda nad rashodima (Y005) u iznosu od 21.283,55 eura, međutim kad dodamo višak prihoda iz prethodne godine (9222-9221) u iznosu od 172.202,83 eura dobijemo ukupni višak prihoda (X006) u iznosu od 150.919,28 eura.</w:t>
      </w:r>
    </w:p>
    <w:p/>
    <w:p>
      <w:pPr>
        <w:jc w:val="center"/>
        <w:pStyle w:val="Normal"/>
        <w:spacing w:line="240" w:lineRule="auto"/>
        <w:keepNext/>
      </w:pPr>
      <w:r>
        <w:rPr>
          <w:b/>
          <w:sz w:val="28"/>
          <w:rFonts w:ascii="Times New Roman" w:hAnsi="Times New Roman"/>
        </w:rPr>
        <w:t xml:space="preserve">Bilanca</w:t>
      </w:r>
    </w:p>
    <w:p>
      <w:pPr>
        <w:jc w:val="center"/>
        <w:pStyle w:val="Normal"/>
        <w:spacing w:line="240" w:lineRule="auto"/>
        <w:keepNext/>
      </w:pPr>
      <w:r>
        <w:rPr>
          <w:sz w:val="28"/>
          <w:rFonts w:ascii="Times New Roman" w:hAnsi="Times New Roman"/>
        </w:rPr>
        <w:t xml:space="preserve">Bilješka 51.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0214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građevinski objekti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1.661.550,49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2.116.997,34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127,4</w:t>
            </w:r>
          </w:p>
        </w:tc>
      </w:tr>
    </w:tbl>
    <w:p>
      <w:pPr>
        <w:spacing w:before="0" w:after="0"/>
      </w:pPr>
    </w:p>
    <w:p>
      <w:r>
        <w:t xml:space="preserve">Ostali građevinski objekti (0214) – povećanje zbog zbog radova na Rodnoj kući Rijeke Kupe i osmatračnici na Btovom lazu, četiri Privremene situacije temeljem Ugovora o javnoj nabavi za izgradnju pješačkog mosta preko Kupe u Gornjim Kuparima, dvije privremene i okončane situacije temeljem Ugovor o javnoj nabavi za obnovu i uređenje poučne staze „Leska“, zamjene krova na Aginoj kući, obnove gazišta na stazi Razloge-izvor Kupe, te radova na brvnari Lazac</w:t>
      </w:r>
    </w:p>
    <w:p/>
    <w:p>
      <w:pPr>
        <w:jc w:val="center"/>
        <w:pStyle w:val="Normal"/>
        <w:spacing w:line="240" w:lineRule="auto"/>
        <w:keepNext/>
      </w:pPr>
      <w:r>
        <w:rPr>
          <w:sz w:val="28"/>
          <w:rFonts w:ascii="Times New Roman" w:hAnsi="Times New Roman"/>
        </w:rPr>
        <w:t xml:space="preserve">Bilješka 52.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Uredska oprema i namještaj</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46.425,81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47.948,38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103,3</w:t>
            </w:r>
          </w:p>
        </w:tc>
      </w:tr>
    </w:tbl>
    <w:p>
      <w:pPr>
        <w:spacing w:before="0" w:after="0"/>
      </w:pPr>
    </w:p>
    <w:p>
      <w:r>
        <w:t xml:space="preserve">Uredska opreme i namještaj (0221) – povećanje zbog nabave AllInOne računala za Odjeljak računovodstva i financija, laptop za Ured Ravnatelja, POS scanner za prodajno mjesto, te dvije uredske stolice</w:t>
      </w:r>
    </w:p>
    <w:p/>
    <w:p>
      <w:pPr>
        <w:jc w:val="center"/>
        <w:pStyle w:val="Normal"/>
        <w:spacing w:line="240" w:lineRule="auto"/>
        <w:keepNext/>
      </w:pPr>
      <w:r>
        <w:rPr>
          <w:sz w:val="28"/>
          <w:rFonts w:ascii="Times New Roman" w:hAnsi="Times New Roman"/>
        </w:rPr>
        <w:t xml:space="preserve">Bilješka 53.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0222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Komunikacijska oprema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0222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3.233,87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3.623,64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112,1</w:t>
            </w:r>
          </w:p>
        </w:tc>
      </w:tr>
    </w:tbl>
    <w:p>
      <w:pPr>
        <w:spacing w:before="0" w:after="0"/>
      </w:pPr>
    </w:p>
    <w:p>
      <w:r>
        <w:t xml:space="preserve">Komunikacijska oprema (0222) - povećanje zbog nabave službenih mobitela</w:t>
      </w:r>
    </w:p>
    <w:p/>
    <w:p>
      <w:pPr>
        <w:jc w:val="center"/>
        <w:pStyle w:val="Normal"/>
        <w:spacing w:line="240" w:lineRule="auto"/>
        <w:keepNext/>
      </w:pPr>
      <w:r>
        <w:rPr>
          <w:sz w:val="28"/>
          <w:rFonts w:ascii="Times New Roman" w:hAnsi="Times New Roman"/>
        </w:rPr>
        <w:t xml:space="preserve">Bilješka 54.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Prijevozna sredstva u cestovnom prometu</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180.823,41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199.784,21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110,5</w:t>
            </w:r>
          </w:p>
        </w:tc>
      </w:tr>
    </w:tbl>
    <w:p>
      <w:pPr>
        <w:spacing w:before="0" w:after="0"/>
      </w:pPr>
    </w:p>
    <w:p>
      <w:r>
        <w:t xml:space="preserve">Prijevozna sredstva u cestovnom prijevozu (0231) – povećanje zbog nabave ATV vozila s pratećom opremom (prikolica i ralica)</w:t>
      </w:r>
    </w:p>
    <w:p/>
    <w:p>
      <w:pPr>
        <w:jc w:val="center"/>
        <w:pStyle w:val="Normal"/>
        <w:spacing w:line="240" w:lineRule="auto"/>
        <w:keepNext/>
      </w:pPr>
      <w:r>
        <w:rPr>
          <w:sz w:val="28"/>
          <w:rFonts w:ascii="Times New Roman" w:hAnsi="Times New Roman"/>
        </w:rPr>
        <w:t xml:space="preserve">Bilješka 55.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0264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Ostala nematerijalna proizvedena imovina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27.281,73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28.281,73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103,7</w:t>
            </w:r>
          </w:p>
        </w:tc>
      </w:tr>
    </w:tbl>
    <w:p>
      <w:pPr>
        <w:spacing w:before="0" w:after="0"/>
      </w:pPr>
    </w:p>
    <w:p>
      <w:r>
        <w:t xml:space="preserve">Ostala nematerijalna proizvedena imovina (0264) – povećanje zbog troškova izrade idejnog elektrotehničkog projekta fotonaponske elektrane za Volonterski centar i Upravnu zgradu</w:t>
      </w:r>
    </w:p>
    <w:p/>
    <w:p>
      <w:pPr>
        <w:jc w:val="center"/>
        <w:pStyle w:val="Normal"/>
        <w:spacing w:line="240" w:lineRule="auto"/>
        <w:keepNext/>
      </w:pPr>
      <w:r>
        <w:rPr>
          <w:sz w:val="28"/>
          <w:rFonts w:ascii="Times New Roman" w:hAnsi="Times New Roman"/>
        </w:rPr>
        <w:t xml:space="preserve">Bilješka 56.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042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Sitni inventar i autogume u upotrebi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042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38.360,63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42.959,30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112,0</w:t>
            </w:r>
          </w:p>
        </w:tc>
      </w:tr>
    </w:tbl>
    <w:p>
      <w:pPr>
        <w:spacing w:before="0" w:after="0"/>
      </w:pPr>
    </w:p>
    <w:p>
      <w:r>
        <w:t xml:space="preserve">Sitan inventar i auto gume u upotrebi (042) – promjena nastala zbog nabave sitnog inventara za potrebe redovnog poslovanja i opremanja Hostela za potrebe pružanja smještaja (ručnici i posteljina), te novih auto guma za vozni park</w:t>
      </w:r>
    </w:p>
    <w:p/>
    <w:p>
      <w:pPr>
        <w:jc w:val="center"/>
        <w:pStyle w:val="Normal"/>
        <w:spacing w:line="240" w:lineRule="auto"/>
        <w:keepNext/>
      </w:pPr>
      <w:r>
        <w:rPr>
          <w:sz w:val="28"/>
          <w:rFonts w:ascii="Times New Roman" w:hAnsi="Times New Roman"/>
        </w:rPr>
        <w:t xml:space="preserve">Bilješka 57.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Financijska imovina (šifre 11+12+13+14+15+16+17+19)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207.269,25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297.629,62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143,6</w:t>
            </w:r>
          </w:p>
        </w:tc>
      </w:tr>
    </w:tbl>
    <w:p>
      <w:pPr>
        <w:spacing w:before="0" w:after="0"/>
      </w:pPr>
    </w:p>
    <w:p>
      <w:r>
        <w:t xml:space="preserve">Financijska imovina (1) 297.629,62 eura odgovara zbroju stanja na dan 31.12.2025</w:t>
      </w:r>
    </w:p>
    <w:p/>
    <w:p>
      <w:pPr>
        <w:jc w:val="center"/>
        <w:pStyle w:val="Normal"/>
        <w:spacing w:line="240" w:lineRule="auto"/>
        <w:keepNext/>
      </w:pPr>
      <w:r>
        <w:rPr>
          <w:sz w:val="28"/>
          <w:rFonts w:ascii="Times New Roman" w:hAnsi="Times New Roman"/>
        </w:rPr>
        <w:t xml:space="preserve">Bilješka 58.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1112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Novac na računu kod tuzemnih poslovnih banaka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1112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121.407,20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291.557,56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240,1</w:t>
            </w:r>
          </w:p>
        </w:tc>
      </w:tr>
    </w:tbl>
    <w:p>
      <w:pPr>
        <w:spacing w:before="0" w:after="0"/>
      </w:pPr>
    </w:p>
    <w:p>
      <w:r>
        <w:t xml:space="preserve">Stanje na 31.12.2025. po izvodu 288</w:t>
      </w:r>
    </w:p>
    <w:p/>
    <w:p>
      <w:pPr>
        <w:jc w:val="center"/>
        <w:pStyle w:val="Normal"/>
        <w:spacing w:line="240" w:lineRule="auto"/>
        <w:keepNext/>
      </w:pPr>
      <w:r>
        <w:rPr>
          <w:sz w:val="28"/>
          <w:rFonts w:ascii="Times New Roman" w:hAnsi="Times New Roman"/>
        </w:rPr>
        <w:t xml:space="preserve">Bilješka 59.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Novac u blagajni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255,14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233,26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91,4</w:t>
            </w:r>
          </w:p>
        </w:tc>
      </w:tr>
    </w:tbl>
    <w:p>
      <w:pPr>
        <w:spacing w:before="0" w:after="0"/>
      </w:pPr>
    </w:p>
    <w:p>
      <w:r>
        <w:t xml:space="preserve">Novac u blagajni (113) – 233,26 eura što zbrojeno odgovara prema knjigovodstvenoj evidenciji i prema blagajničkom izvještaju broj 10/2025 stanju u blagajni 83,26 eura, te pomoćnim blagajnama Bijela Vodica 100,00 eura i Razloge 50,00 eura.</w:t>
      </w:r>
    </w:p>
    <w:p/>
    <w:p>
      <w:pPr>
        <w:jc w:val="center"/>
        <w:pStyle w:val="Normal"/>
        <w:spacing w:line="240" w:lineRule="auto"/>
        <w:keepNext/>
      </w:pPr>
      <w:r>
        <w:rPr>
          <w:sz w:val="28"/>
          <w:rFonts w:ascii="Times New Roman" w:hAnsi="Times New Roman"/>
        </w:rPr>
        <w:t xml:space="preserve">Bilješka 60.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123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Potraživanja od zaposlenih</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92,00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92,70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100,8</w:t>
            </w:r>
          </w:p>
        </w:tc>
      </w:tr>
    </w:tbl>
    <w:p>
      <w:pPr>
        <w:spacing w:before="0" w:after="0"/>
      </w:pPr>
    </w:p>
    <w:p>
      <w:r>
        <w:t xml:space="preserve">Potraživanja od zaposlenih (123) – 92,70 eura, a odnosi se na polog od 30.12.2025. godine koji je položen putem dnevno noćnog trezora i proknjižen u siječnju 2026</w:t>
      </w:r>
    </w:p>
    <w:p/>
    <w:p>
      <w:pPr>
        <w:jc w:val="center"/>
        <w:pStyle w:val="Normal"/>
        <w:spacing w:line="240" w:lineRule="auto"/>
        <w:keepNext/>
      </w:pPr>
      <w:r>
        <w:rPr>
          <w:sz w:val="28"/>
          <w:rFonts w:ascii="Times New Roman" w:hAnsi="Times New Roman"/>
        </w:rPr>
        <w:t xml:space="preserve">Bilješka 61.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124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Potraživanja za više plaćene poreze i doprinose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30.294,02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2.120,18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7,0</w:t>
            </w:r>
          </w:p>
        </w:tc>
      </w:tr>
    </w:tbl>
    <w:p>
      <w:pPr>
        <w:spacing w:before="0" w:after="0"/>
      </w:pPr>
    </w:p>
    <w:p>
      <w:r>
        <w:t xml:space="preserve">Potraživanja za više plaćene poreze i doprinose (124) – 2.120,18 eura odnosi se na potraživanje za pretporez obveznika poreza na dodanu vrijednost za studeni i prosinac 2025. godine, te R2 račune iz prosinca čiji pretporez će biti priznat u PDV obrascu po izvršenom plaćanju </w:t>
      </w:r>
    </w:p>
    <w:p/>
    <w:p>
      <w:pPr>
        <w:jc w:val="center"/>
        <w:pStyle w:val="Normal"/>
        <w:spacing w:line="240" w:lineRule="auto"/>
        <w:keepNext/>
      </w:pPr>
      <w:r>
        <w:rPr>
          <w:sz w:val="28"/>
          <w:rFonts w:ascii="Times New Roman" w:hAnsi="Times New Roman"/>
        </w:rPr>
        <w:t xml:space="preserve">Bilješka 62.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Ostala potraživanja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129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2.166,59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1.657,77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76,5</w:t>
            </w:r>
          </w:p>
        </w:tc>
      </w:tr>
    </w:tbl>
    <w:p>
      <w:pPr>
        <w:spacing w:before="0" w:after="0"/>
      </w:pPr>
    </w:p>
    <w:p>
      <w:r>
        <w:t xml:space="preserve">Ostala potraživanja (129) – 1.657,77 eura  odnosi se na potraživanja proračuna za povrat sredstava proračunskih korisnika u proračun – bolovanje HZZO u iznosu od 1.155,91 euro, te 501,86 eura potraživanja za predujmove</w:t>
      </w:r>
    </w:p>
    <w:p/>
    <w:p>
      <w:pPr>
        <w:jc w:val="center"/>
        <w:pStyle w:val="Normal"/>
        <w:spacing w:line="240" w:lineRule="auto"/>
        <w:keepNext/>
      </w:pPr>
      <w:r>
        <w:rPr>
          <w:sz w:val="28"/>
          <w:rFonts w:ascii="Times New Roman" w:hAnsi="Times New Roman"/>
        </w:rPr>
        <w:t xml:space="preserve">Bilješka 63.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166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Potraživanja za prihode od prodaje proizvoda i robe te pruženih usluga i za povrat po protestiranim jamstvima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166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6.886,89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1.968,15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28,6</w:t>
            </w:r>
          </w:p>
        </w:tc>
      </w:tr>
    </w:tbl>
    <w:p>
      <w:pPr>
        <w:spacing w:before="0" w:after="0"/>
      </w:pPr>
    </w:p>
    <w:p>
      <w:r>
        <w:t xml:space="preserve">Potraživanja za prihode od prodaje proizvoda i robe te pruženih usluga i za povrat po protestiranim jamstvima (166) – 1.968,15 eura odnosi se na potraživanja za usluge perfektuiranja najmoprimcu Tesoro IMK j.d.o.o., Usluge Ogulin j.d.o.o. za izvršene usluge smještaja nad kojim je pokrenut postupak ovrhe temeljem rješenja o ovrsi Ovrv-8676/2025 sa 13. siječnja 2026. godine</w:t>
      </w:r>
    </w:p>
    <w:p/>
    <w:p>
      <w:pPr>
        <w:jc w:val="center"/>
        <w:pStyle w:val="Normal"/>
        <w:spacing w:line="240" w:lineRule="auto"/>
        <w:keepNext/>
      </w:pPr>
      <w:r>
        <w:rPr>
          <w:sz w:val="28"/>
          <w:rFonts w:ascii="Times New Roman" w:hAnsi="Times New Roman"/>
        </w:rPr>
        <w:t xml:space="preserve">Bilješka 64.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193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Kontinuirani rashodi budućih razdoblja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193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46.167,41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Kontinuirani rashodi budućih razdoblja (193) – se više ne iskazuju jer su novim Pravilnikom o proračunskom računovodstvu i Računskom planu (NN 158/23 i 154/24) ukinuti</w:t>
      </w:r>
    </w:p>
    <w:p/>
    <w:p>
      <w:pPr>
        <w:jc w:val="center"/>
        <w:pStyle w:val="Normal"/>
        <w:spacing w:line="240" w:lineRule="auto"/>
        <w:keepNext/>
      </w:pPr>
      <w:r>
        <w:rPr>
          <w:sz w:val="28"/>
          <w:rFonts w:ascii="Times New Roman" w:hAnsi="Times New Roman"/>
        </w:rPr>
        <w:t xml:space="preserve">Bilješka 65.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99611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Tuđa imovina dobivena na korištenje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8.636,47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Ugovori o najmu opreme i zakupu poslovnih prostora:</w:t>
      </w:r>
    </w:p>
    <w:p>
      <w:pPr>
        <w:pStyle w:val="ListParagraph"/>
        <w:numPr>
          <w:ilvl w:val="0"/>
          <w:numId w:val="2"/>
        </w:numPr>
      </w:pPr>
      <w:r>
        <w:t xml:space="preserve">Hrvatske šume d.o.o. - Ugovor o zakupu poslovnog prostora - skladišni prostor KLASA: DE-18-969 URBROJ: 00-07-02/04/24-49 - 431,44 € (ugovor 2 godine)</w:t>
      </w:r>
    </w:p>
    <w:p>
      <w:pPr>
        <w:pStyle w:val="ListParagraph"/>
        <w:numPr>
          <w:ilvl w:val="0"/>
          <w:numId w:val="2"/>
        </w:numPr>
      </w:pPr>
      <w:r>
        <w:t xml:space="preserve">Općina Mrkopalj - Ugovor o zakupu poslovnog prostora u Mrkoplju - KLASA: 372-03/20-01/02 URBROJ:2112-05-02-20-6 - 2.773, 48€ (ugovor 10 godina)</w:t>
      </w:r>
    </w:p>
    <w:p>
      <w:r>
        <w:t xml:space="preserve">Tuđa imovina dana na korištenje:</w:t>
      </w:r>
    </w:p>
    <w:p>
      <w:pPr>
        <w:pStyle w:val="ListParagraph"/>
        <w:numPr>
          <w:ilvl w:val="0"/>
          <w:numId w:val="3"/>
        </w:numPr>
      </w:pPr>
      <w:r>
        <w:t xml:space="preserve">DRŽAVNI INSPEKTORAT-MZOE - 5.281,39 € - Dugotrajna imovina</w:t>
      </w:r>
    </w:p>
    <w:p>
      <w:pPr>
        <w:pStyle w:val="ListParagraph"/>
        <w:numPr>
          <w:ilvl w:val="0"/>
          <w:numId w:val="3"/>
        </w:numPr>
      </w:pPr>
      <w:r>
        <w:t xml:space="preserve">DRŽAVNI HIDROMETOROLOŠKI ZAVOD - 150,16 € - Dugotrajna imovina - KLASA: 053-01/25-01/03, URBROJ: 554-25-03</w:t>
      </w:r>
    </w:p>
    <w:p/>
    <w:p>
      <w:pPr>
        <w:jc w:val="center"/>
        <w:pStyle w:val="Normal"/>
        <w:spacing w:line="240" w:lineRule="auto"/>
        <w:keepNext/>
      </w:pPr>
      <w:r>
        <w:rPr>
          <w:sz w:val="28"/>
          <w:rFonts w:ascii="Times New Roman" w:hAnsi="Times New Roman"/>
        </w:rPr>
        <w:t xml:space="preserve">Bilješka 66.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99641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Instrumenti osiguranja plaćanja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117.146,60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Odnosi se na primljena jamstva i instrumente osiguranja plaćanja od:</w:t>
      </w:r>
    </w:p>
    <w:p>
      <w:pPr>
        <w:pStyle w:val="ListParagraph"/>
        <w:numPr>
          <w:ilvl w:val="0"/>
          <w:numId w:val="2"/>
        </w:numPr>
      </w:pPr>
      <w:r>
        <w:t xml:space="preserve">Tesoro IMK j.d.o.o. - Bjanko zadužnica - 20.000,00 € - Sredstvo osiguranja ispunjenja ugovorenih obveza - Ugovor o zakupu - KLASA:372-02/24-01/02, URBROJ: 2170-6-2-01-24-06</w:t>
      </w:r>
    </w:p>
    <w:p>
      <w:pPr>
        <w:pStyle w:val="ListParagraph"/>
        <w:numPr>
          <w:ilvl w:val="0"/>
          <w:numId w:val="2"/>
        </w:numPr>
      </w:pPr>
      <w:r>
        <w:t xml:space="preserve">Telemach Hrvatska d.o.o. - Bjanko zadužnica - 1.000,00 € - Suglasnost radi naplate tradžbine</w:t>
      </w:r>
    </w:p>
    <w:p>
      <w:pPr>
        <w:pStyle w:val="ListParagraph"/>
        <w:numPr>
          <w:ilvl w:val="0"/>
          <w:numId w:val="2"/>
        </w:numPr>
      </w:pPr>
      <w:r>
        <w:t xml:space="preserve">FRACASSO PRODUCTION d.o.o. - Zadužnica - 45.000,00 € - Zadužnica radi naplate tradžbine Vjerovnika - Rekonstrukcija planinarskog doma na Risnjaku-građevinski radovi; 2025/S PCINF-0006109, 22.09.2025; CPV 45000000 - Građevinski radovi</w:t>
      </w:r>
    </w:p>
    <w:p>
      <w:pPr>
        <w:pStyle w:val="ListParagraph"/>
        <w:numPr>
          <w:ilvl w:val="0"/>
          <w:numId w:val="2"/>
        </w:numPr>
      </w:pPr>
      <w:r>
        <w:t xml:space="preserve">FRACASSO PRODUCTION d.o.o. - Garancija br. 568012 - dodatak br.3 - 28.525,85 € - Garancija za dobro izvršenje posla - Ugovor o javnoj nabavi za izgradnju pješačkog mosta u Nacionalnom parku Risnjak - KLASA:406-03/24-01/10, URBROJ: 2170-6-2-01-25-11 od 18.02.2026</w:t>
      </w:r>
    </w:p>
    <w:p>
      <w:pPr>
        <w:pStyle w:val="ListParagraph"/>
        <w:numPr>
          <w:ilvl w:val="0"/>
          <w:numId w:val="2"/>
        </w:numPr>
      </w:pPr>
      <w:r>
        <w:t xml:space="preserve">TRGOVAČKI OBRT BOBICA - GARANCIJA br.4101198903 - dodatak 1 - 10.620,75 € - Garancija za dobro izvršenje posla - Ugovor o javnoj nabavi radova za obnovu i uređenje poučne staze "Leska" u Nacionalnom parki Risnjak dana 11.06.2025 godine - KLASA:406-03/25-01/02, URBROJ: 2170-6-2-01-2508</w:t>
      </w:r>
    </w:p>
    <w:p>
      <w:pPr>
        <w:pStyle w:val="ListParagraph"/>
        <w:numPr>
          <w:ilvl w:val="0"/>
          <w:numId w:val="2"/>
        </w:numPr>
      </w:pPr>
      <w:r>
        <w:t xml:space="preserve">TRGOVAČKI OBRT BOBICA - BJANKO ZADUŽNICA - 10.000,00 € - Jamstvo za otklanjanje nedostataka - Ugovor o javnoj nabavi radova za obnovu i uređenje poučne staze "Leska" u Nacionalnom parki Risnjak dana 11.06.2025 godine - KLASA:406-03/25-01/02, URBROJ: 2170-6-2-01-2509</w:t>
      </w:r>
    </w:p>
    <w:p>
      <w:pPr>
        <w:pStyle w:val="ListParagraph"/>
        <w:numPr>
          <w:ilvl w:val="0"/>
          <w:numId w:val="2"/>
        </w:numPr>
      </w:pPr>
      <w:r>
        <w:t xml:space="preserve">TRGOVAČKI OBRT BOBICA - BJANKO ZADUŽNICA - 2.000,00 € - Jamstvo za otklanjanje nedostataka - Ugovor o javnoj nabavi radova za obnovu i uređenje poučne staze "Leska" u Nacionalnom parki Risnjak dana 11.06.2025 godine - KLASA:406-03/25-01/02, URBROJ: 2170-6-2-01-2510</w:t>
      </w:r>
      <w:r>
        <w:br/>
      </w:r>
      <w:r>
        <w:t xml:space="preserve">60 mjeseci</w:t>
      </w:r>
    </w:p>
    <w:p/>
    <w:p>
      <w:pPr>
        <w:jc w:val="center"/>
        <w:pStyle w:val="Normal"/>
        <w:spacing w:line="240" w:lineRule="auto"/>
        <w:keepNext/>
      </w:pPr>
      <w:r>
        <w:rPr>
          <w:sz w:val="28"/>
          <w:rFonts w:ascii="Times New Roman" w:hAnsi="Times New Roman"/>
        </w:rPr>
        <w:t xml:space="preserve">Bilješka 67.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99652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Preuzete obveze po ugovorima o nabavi roba, radova i usluga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99652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58.379,27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pPr>
        <w:pStyle w:val="ListParagraph"/>
        <w:numPr>
          <w:ilvl w:val="0"/>
          <w:numId w:val="2"/>
        </w:numPr>
      </w:pPr>
      <w:r>
        <w:t xml:space="preserve">SVEUČILIŠTE U ZAGREBU Građevinski fakultet - JN 21/25 - 8.400,00 € - Usluga stručnog nadzora nad izgradnjom pješačkog mosta u Nacionalnom parku Risnjak</w:t>
      </w:r>
    </w:p>
    <w:p>
      <w:pPr>
        <w:pStyle w:val="ListParagraph"/>
        <w:numPr>
          <w:ilvl w:val="0"/>
          <w:numId w:val="2"/>
        </w:numPr>
      </w:pPr>
      <w:r>
        <w:t xml:space="preserve">T.O. BOBICA, VL. ZLATKO BRLEK - 406-03/25-01/02-08 - 14.777,05 €</w:t>
      </w:r>
    </w:p>
    <w:p>
      <w:pPr>
        <w:pStyle w:val="ListParagraph"/>
        <w:numPr>
          <w:ilvl w:val="0"/>
          <w:numId w:val="2"/>
        </w:numPr>
      </w:pPr>
      <w:r>
        <w:t xml:space="preserve">FRACASSO PRODUCTION D.O.O.- 406-03/24-01/10-11 - 35.202,22 €</w:t>
      </w:r>
    </w:p>
    <w:p/>
    <w:p>
      <w:pPr>
        <w:jc w:val="center"/>
        <w:pStyle w:val="Normal"/>
        <w:spacing w:line="240" w:lineRule="auto"/>
        <w:keepNext/>
      </w:pPr>
      <w:r>
        <w:rPr>
          <w:sz w:val="28"/>
          <w:rFonts w:ascii="Times New Roman" w:hAnsi="Times New Roman"/>
        </w:rPr>
        <w:t xml:space="preserve">Bilješka 68.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99691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izvanbilančni zapisi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15.745,84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3.592,45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22,8</w:t>
            </w:r>
          </w:p>
        </w:tc>
      </w:tr>
    </w:tbl>
    <w:p>
      <w:pPr>
        <w:spacing w:before="0" w:after="0"/>
      </w:pPr>
    </w:p>
    <w:p>
      <w:r>
        <w:t xml:space="preserve">Obveze prema vlasnicima robe u komisiji</w:t>
      </w:r>
    </w:p>
    <w:p/>
    <w:p>
      <w:pPr>
        <w:jc w:val="center"/>
        <w:pStyle w:val="Normal"/>
        <w:spacing w:line="240" w:lineRule="auto"/>
        <w:keepNext/>
      </w:pPr>
      <w:r>
        <w:rPr>
          <w:b/>
          <w:sz w:val="28"/>
          <w:rFonts w:ascii="Times New Roman" w:hAnsi="Times New Roman"/>
        </w:rPr>
        <w:t xml:space="preserve">Izvještaj o rashodima prema funkcijskoj klasifikaciji</w:t>
      </w:r>
    </w:p>
    <w:p>
      <w:pPr>
        <w:jc w:val="center"/>
        <w:pStyle w:val="Normal"/>
        <w:spacing w:line="240" w:lineRule="auto"/>
        <w:keepNext/>
      </w:pPr>
      <w:r>
        <w:rPr>
          <w:sz w:val="28"/>
          <w:rFonts w:ascii="Times New Roman" w:hAnsi="Times New Roman"/>
        </w:rPr>
        <w:t xml:space="preserve">Bilješka 69.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0472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Hoteli i restorani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0472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32.879,62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38.206,29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116,2</w:t>
            </w:r>
          </w:p>
        </w:tc>
      </w:tr>
    </w:tbl>
    <w:p>
      <w:pPr>
        <w:spacing w:before="0" w:after="0"/>
      </w:pPr>
    </w:p>
    <w:p>
      <w:r>
        <w:t xml:space="preserve">Rashodi se odnose na tekuće troškove poslovanja Hostela Crni Lug</w:t>
      </w:r>
    </w:p>
    <w:p/>
    <w:p>
      <w:pPr>
        <w:jc w:val="center"/>
        <w:pStyle w:val="Normal"/>
        <w:spacing w:line="240" w:lineRule="auto"/>
        <w:keepNext/>
      </w:pPr>
      <w:r>
        <w:rPr>
          <w:sz w:val="28"/>
          <w:rFonts w:ascii="Times New Roman" w:hAnsi="Times New Roman"/>
        </w:rPr>
        <w:t xml:space="preserve">Bilješka 70.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054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Zaštita bioraznolikosti i krajolika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054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970.863,15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1.392.994,57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143,5</w:t>
            </w:r>
          </w:p>
        </w:tc>
      </w:tr>
    </w:tbl>
    <w:p>
      <w:pPr>
        <w:spacing w:before="0" w:after="0"/>
      </w:pPr>
    </w:p>
    <w:p>
      <w:r>
        <w:t xml:space="preserve">U funkcijskoj skupini 054 rashodi su veći za 43,5 % zbog završetaka projekata temeljem Ugovora o javnoj nabavi za izgradnju pješačkog mosta preko Kupe u Gornjim Kuparima i Ugovora o javnoj nabavi za obnovu i uređenje poučne staze „Leska“.</w:t>
      </w:r>
    </w:p>
    <w:p>
      <w:r>
        <w:t xml:space="preserve"> </w:t>
      </w:r>
    </w:p>
    <w:p/>
    <w:p>
      <w:pPr>
        <w:jc w:val="center"/>
        <w:pStyle w:val="Normal"/>
        <w:spacing w:line="240" w:lineRule="auto"/>
        <w:keepNext/>
      </w:pPr>
      <w:r>
        <w:rPr>
          <w:sz w:val="28"/>
          <w:rFonts w:ascii="Times New Roman" w:hAnsi="Times New Roman"/>
        </w:rPr>
        <w:t xml:space="preserve">Bilješka 71.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Kontrolni zbroj (šifre 01+02+03+04+05+06+07+08+09+10)</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1.003.742,77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1.431.200,86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142,6</w:t>
            </w:r>
          </w:p>
        </w:tc>
      </w:tr>
    </w:tbl>
    <w:p>
      <w:pPr>
        <w:spacing w:before="0" w:after="0"/>
      </w:pPr>
    </w:p>
    <w:p>
      <w:r>
        <w:t xml:space="preserve">Zbroj rashoda na klasifikacijama 0472 – hoteli i restorani i 054 – zaštita bioraznolikosti i krajolika ukupnog iznosa 1.431.200,86 eura (šifra R1) u obrascu RAS-funkcijski odgovara zbroju rashoda poslovanja (razred 3) i rashoda za nabavu nefinancijske imovine (razred 4) iskazanih u obrascu PR-RAS, ukupni rashodi i izdaci (šifra Y345).</w:t>
      </w:r>
    </w:p>
    <w:p/>
    <w:p>
      <w:pPr>
        <w:jc w:val="center"/>
        <w:pStyle w:val="Normal"/>
        <w:spacing w:line="240" w:lineRule="auto"/>
        <w:keepNext/>
      </w:pPr>
      <w:r>
        <w:rPr>
          <w:b/>
          <w:sz w:val="28"/>
          <w:rFonts w:ascii="Times New Roman" w:hAnsi="Times New Roman"/>
        </w:rPr>
        <w:t xml:space="preserve">Promjene u vrijednosti i obujmu imovine i obveza</w:t>
      </w:r>
    </w:p>
    <w:p>
      <w:pPr>
        <w:jc w:val="center"/>
        <w:pStyle w:val="Normal"/>
        <w:spacing w:line="240" w:lineRule="auto"/>
        <w:keepNext/>
      </w:pPr>
      <w:r>
        <w:rPr>
          <w:sz w:val="28"/>
          <w:rFonts w:ascii="Times New Roman" w:hAnsi="Times New Roman"/>
        </w:rPr>
        <w:t xml:space="preserve">Bilješka 72.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povećanja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smanjenja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Sitni inventar i autogume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P020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150,16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150,16 eura (šifra P020) je evidentirano temeljem procijenjene vrijednosti  o doniranoj opremi – Ugovor o donaciji meteorološke opreme KLASA: 920-03/25-02/06, URBROJ: 554-05-01/01-25-4 od 9. svibnja 2025. godine od Državnog hidrometeorološkog zavoda.</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73.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863,20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Iznos od 863,20 eura se odnosi na račune Zagrebačkog holdinga d.o.o. (UR 847 - 17,82 €), Grad Delnice (UR 848 - 797,62 eura) i Općina Mrkopalj (UR 849 - 47,76 eura). Računi su zaprimljeni redovnom poštom 05. siječnja 2026. godine zbog čega je i došlo do kašnjenja u plaćanju. Cijeli iznos dospjelih obveza podmiren je nakon likvidature računa u siječnju 2026. godine</w:t>
      </w:r>
    </w:p>
    <w:p/>
    <w:p>
      <w:pPr>
        <w:jc w:val="center"/>
        <w:pStyle w:val="Normal"/>
        <w:spacing w:line="240" w:lineRule="auto"/>
        <w:keepNext/>
      </w:pPr>
      <w:r>
        <w:rPr>
          <w:sz w:val="28"/>
          <w:rFonts w:ascii="Times New Roman" w:hAnsi="Times New Roman"/>
        </w:rPr>
        <w:t xml:space="preserve">Bilješka 74.</w:t>
      </w:r>
    </w:p>
    <w:p>
      <w:pPr>
        <w:jc w:val="both"/>
        <w:pStyle w:val="Normal"/>
        <w:spacing w:line="240" w:lineRule="auto"/>
      </w:pPr>
      <w:r>
        <w:rPr>
          <w:b/>
          <w:sz w:val="24"/>
          <w:rFonts w:ascii="Times New Roman" w:hAnsi="Times New Roman"/>
        </w:rPr>
        <w:t xml:space="preserve">EU izvještaj</w:t>
      </w:r>
    </w:p>
    <w:p>
      <w:r>
        <w:t xml:space="preserve">Podaci u EU izvještaju odnose se na prihode i rashode vezane za provođenje projekta sa Prirodoslovnim muzejem Rijeka temeljem Sporazuma o partnerstvu za standardni projekt u okviru prioriteta 1 i 3 (specifični cilj 6.2) Interreg Program Slovenija-Hrvatska 2021.-2027. koji su tijekom 2025. godine evidentirani na izvoru 52, a sukladno veznim tablicama u ovom izvještajnom razdoblju prikazani na izvor 563.</w:t>
      </w:r>
    </w:p>
    <w:p>
      <w:r>
        <w:t xml:space="preserve">Tijekom 2025. godine ostvareni su prvi prihodi temeljem 1. i 2. izvještajnog razdoblja.</w:t>
      </w:r>
    </w:p>
    <w:p>
      <w:r>
        <w:t xml:space="preserve"> </w:t>
      </w:r>
    </w:p>
    <w:p/>
  </w:body>
</w:document>
</file>

<file path=word/numbering.xml><?xml version="1.0" encoding="utf-8"?>
<w:numbering xmlns:w="http://schemas.openxmlformats.org/wordprocessingml/2006/main">
  <w:abstractNum w:abstractNumId="1">
    <w:multiLevelType w:val="hybridMultilevel"/>
    <w:name w:val="disc"/>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num w:numId="2">
    <w:abstractNumId w:val="1"/>
    <w:lvlOverride w:ilvl="0">
      <w:startOverride w:val="1"/>
    </w:lvlOverride>
  </w:num>
  <w:num w:numId="3">
    <w:abstractNumId w:val="1"/>
    <w:lvlOverride w:ilvl="0">
      <w:startOverride w:val="1"/>
    </w:lvlOverride>
  </w:num>
</w:numbering>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ListParagraph">
    <w:name w:val="List Paragraph"/>
    <w:next w:val="List Paragraph"/>
    <w:pPr>
      <w:keepNext w:val="0"/>
      <w:keepLines w:val="0"/>
      <w:spacing w:before="0" w:after="0" w:line="240" w:lineRule="auto"/>
      <w:ind w:start="720" w:end="0" w:firstLine="0"/>
      <w:contextualSpacing/>
    </w:pPr>
  </w:style>
</w:styles>
</file>

<file path=word/_rels/document.xml.rels>&#65279;<?xml version="1.0" encoding="utf-8"?><Relationships xmlns="http://schemas.openxmlformats.org/package/2006/relationships"><Relationship Type="http://schemas.openxmlformats.org/officeDocument/2006/relationships/styles" Target="/word/styles.xml" Id="Rbed5de4878504c83" /><Relationship Type="http://schemas.openxmlformats.org/officeDocument/2006/relationships/numbering" Target="/word/numbering.xml" Id="R6c88dbd7590748a9" /></Relationships>
</file>